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61" w:rsidRDefault="0014530E" w:rsidP="00DE1323">
      <w:pPr>
        <w:jc w:val="center"/>
        <w:rPr>
          <w:rFonts w:ascii="Arial Black" w:hAnsi="Arial Black"/>
          <w:sz w:val="28"/>
          <w:szCs w:val="28"/>
        </w:rPr>
      </w:pPr>
      <w:r>
        <w:rPr>
          <w:rFonts w:ascii="Arial Black" w:hAnsi="Arial Black"/>
          <w:sz w:val="28"/>
          <w:szCs w:val="28"/>
        </w:rPr>
        <w:t xml:space="preserve">BOROUGH GREEN </w:t>
      </w:r>
      <w:r w:rsidR="00557625" w:rsidRPr="003C32CC">
        <w:rPr>
          <w:rFonts w:ascii="Arial Black" w:hAnsi="Arial Black"/>
          <w:sz w:val="28"/>
          <w:szCs w:val="28"/>
        </w:rPr>
        <w:t xml:space="preserve">SANDPITS &amp; </w:t>
      </w:r>
      <w:r w:rsidR="00665F7A" w:rsidRPr="003C32CC">
        <w:rPr>
          <w:rFonts w:ascii="Arial Black" w:hAnsi="Arial Black"/>
          <w:sz w:val="28"/>
          <w:szCs w:val="28"/>
        </w:rPr>
        <w:t>LANDFILL SITES</w:t>
      </w:r>
      <w:r w:rsidR="00EC7561">
        <w:rPr>
          <w:rFonts w:ascii="Arial Black" w:hAnsi="Arial Black"/>
          <w:sz w:val="28"/>
          <w:szCs w:val="28"/>
        </w:rPr>
        <w:t xml:space="preserve"> REPORT</w:t>
      </w:r>
    </w:p>
    <w:p w:rsidR="00EC7561" w:rsidRPr="00EC7561" w:rsidRDefault="00B249E7" w:rsidP="00221092">
      <w:pPr>
        <w:rPr>
          <w:rFonts w:ascii="Arial" w:hAnsi="Arial" w:cs="Arial"/>
          <w:sz w:val="24"/>
          <w:szCs w:val="24"/>
        </w:rPr>
      </w:pPr>
      <w:r>
        <w:rPr>
          <w:rFonts w:ascii="Arial" w:hAnsi="Arial" w:cs="Arial"/>
          <w:noProof/>
          <w:sz w:val="24"/>
          <w:szCs w:val="24"/>
          <w:lang w:eastAsia="en-GB"/>
        </w:rPr>
        <w:drawing>
          <wp:inline distT="0" distB="0" distL="0" distR="0">
            <wp:extent cx="6645910" cy="960963"/>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6645910" cy="960963"/>
                    </a:xfrm>
                    <a:prstGeom prst="rect">
                      <a:avLst/>
                    </a:prstGeom>
                    <a:noFill/>
                    <a:ln w="9525">
                      <a:noFill/>
                      <a:miter lim="800000"/>
                      <a:headEnd/>
                      <a:tailEnd/>
                    </a:ln>
                  </pic:spPr>
                </pic:pic>
              </a:graphicData>
            </a:graphic>
          </wp:inline>
        </w:drawing>
      </w:r>
    </w:p>
    <w:p w:rsidR="00A52F59" w:rsidRPr="003C32CC" w:rsidRDefault="00A52F59" w:rsidP="00DE1323">
      <w:pPr>
        <w:jc w:val="center"/>
        <w:rPr>
          <w:rFonts w:ascii="Arial Black" w:hAnsi="Arial Black"/>
          <w:sz w:val="18"/>
          <w:szCs w:val="18"/>
        </w:rPr>
      </w:pPr>
    </w:p>
    <w:p w:rsidR="007F7C86" w:rsidRDefault="007F7C86">
      <w:r>
        <w:t xml:space="preserve">Tonbridge &amp; Malling Borough Council's Local Plan depends largely on building 3000 houses on Metropolitan Greenbelt and the Kent Downs Area of Outstanding Natural Beauty land to the north of Borough Green Village, </w:t>
      </w:r>
    </w:p>
    <w:p w:rsidR="007F7C86" w:rsidRDefault="007F7C86" w:rsidP="007F7C86">
      <w:r>
        <w:t>TMBC's justification for development on MGB/AONB land is their Local Plan Building Block Provision of Infrastructure in the form of a "Relief Road" stretching from Darkhill Roundabout on the A25 to the West, and the A20 at Nepicar in the East.</w:t>
      </w:r>
    </w:p>
    <w:p w:rsidR="007F7C86" w:rsidRPr="003C32CC" w:rsidRDefault="007F7C86">
      <w:pPr>
        <w:rPr>
          <w:sz w:val="18"/>
          <w:szCs w:val="18"/>
        </w:rPr>
      </w:pPr>
    </w:p>
    <w:p w:rsidR="007F7C86" w:rsidRDefault="007F7C86">
      <w:r>
        <w:t>They have made some commitment to ensuring the Relief Road is in</w:t>
      </w:r>
      <w:r w:rsidR="00BB146C">
        <w:t xml:space="preserve"> place during</w:t>
      </w:r>
      <w:r>
        <w:t xml:space="preserve"> to housing development, and </w:t>
      </w:r>
      <w:r w:rsidR="00BB146C">
        <w:t xml:space="preserve">we </w:t>
      </w:r>
      <w:r>
        <w:t>will be insisting on an ironclad agreement between multiple landowners to fund that road.</w:t>
      </w:r>
    </w:p>
    <w:p w:rsidR="007F7C86" w:rsidRPr="003C32CC" w:rsidRDefault="007F7C86">
      <w:pPr>
        <w:rPr>
          <w:sz w:val="18"/>
          <w:szCs w:val="18"/>
        </w:rPr>
      </w:pPr>
    </w:p>
    <w:p w:rsidR="007F7C86" w:rsidRDefault="007F7C86">
      <w:r>
        <w:t>However, we believe there are significant obstacles to be overcome, many of which mean that the 1720 houses and the Relief Road cannot be achieved within the timeframe of this Local Plan prior to 2031, and therefore render the plan unsound.</w:t>
      </w:r>
    </w:p>
    <w:p w:rsidR="007F7C86" w:rsidRPr="003C32CC" w:rsidRDefault="007F7C86">
      <w:pPr>
        <w:rPr>
          <w:sz w:val="18"/>
          <w:szCs w:val="18"/>
        </w:rPr>
      </w:pPr>
    </w:p>
    <w:p w:rsidR="007F7C86" w:rsidRDefault="007F7C86">
      <w:r>
        <w:t xml:space="preserve">1. </w:t>
      </w:r>
      <w:r w:rsidRPr="00EC7561">
        <w:rPr>
          <w:b/>
        </w:rPr>
        <w:t>Ightham Sandpit</w:t>
      </w:r>
      <w:r>
        <w:t xml:space="preserve"> requires a huge amount of contamination remediatio</w:t>
      </w:r>
      <w:r w:rsidR="00442AB8">
        <w:t>n</w:t>
      </w:r>
      <w:r w:rsidR="00860827">
        <w:t>, estimated at 200,000 tonnes plus</w:t>
      </w:r>
      <w:r w:rsidR="00442AB8">
        <w:t>.</w:t>
      </w:r>
    </w:p>
    <w:p w:rsidR="00EC7561" w:rsidRDefault="00EC7561"/>
    <w:p w:rsidR="00442AB8" w:rsidRDefault="00442AB8">
      <w:r>
        <w:t xml:space="preserve">2. </w:t>
      </w:r>
      <w:r w:rsidRPr="00EC7561">
        <w:rPr>
          <w:b/>
        </w:rPr>
        <w:t>Borough Green Sandpit</w:t>
      </w:r>
      <w:r>
        <w:t xml:space="preserve"> has significant reserves still to be exploited, </w:t>
      </w:r>
      <w:r w:rsidR="00860827">
        <w:t>most notably in the land north of</w:t>
      </w:r>
      <w:r>
        <w:t xml:space="preserve"> the existing workings and the M26.</w:t>
      </w:r>
    </w:p>
    <w:p w:rsidR="00EC7561" w:rsidRDefault="00EC7561"/>
    <w:p w:rsidR="00442AB8" w:rsidRDefault="00442AB8">
      <w:r>
        <w:t>3.</w:t>
      </w:r>
      <w:r w:rsidRPr="00EC7561">
        <w:rPr>
          <w:b/>
        </w:rPr>
        <w:t>Park Farm Claypit</w:t>
      </w:r>
      <w:r>
        <w:t xml:space="preserve"> has extant sand and clay extraction permission until 2042.</w:t>
      </w:r>
    </w:p>
    <w:p w:rsidR="00EC7561" w:rsidRDefault="00EC7561"/>
    <w:p w:rsidR="00442AB8" w:rsidRDefault="00442AB8">
      <w:r>
        <w:t xml:space="preserve">4 </w:t>
      </w:r>
      <w:r w:rsidRPr="00EC7561">
        <w:rPr>
          <w:b/>
        </w:rPr>
        <w:t>Nepicar Sandpit</w:t>
      </w:r>
      <w:r>
        <w:t xml:space="preserve"> has extant extraction permissions until 2028, plus infill. It also has legal problems over access to residential properties that could add a further 10-20 years to the scheme.</w:t>
      </w:r>
    </w:p>
    <w:p w:rsidR="00EC7561" w:rsidRDefault="00EC7561"/>
    <w:p w:rsidR="00442AB8" w:rsidRDefault="00442AB8">
      <w:r>
        <w:t xml:space="preserve">5. </w:t>
      </w:r>
      <w:r w:rsidRPr="00EC7561">
        <w:rPr>
          <w:b/>
        </w:rPr>
        <w:t>H+H Celcon</w:t>
      </w:r>
      <w:r>
        <w:t xml:space="preserve"> has HGV number restrictions - remediation access to Ightham Sandpit will severely impact the viability of the Block Factory.</w:t>
      </w:r>
    </w:p>
    <w:p w:rsidR="00EC7561" w:rsidRDefault="00EC7561"/>
    <w:p w:rsidR="00442AB8" w:rsidRDefault="00442AB8">
      <w:r>
        <w:t xml:space="preserve">6. </w:t>
      </w:r>
      <w:r w:rsidRPr="00EC7561">
        <w:rPr>
          <w:b/>
        </w:rPr>
        <w:t>Borough Green Sandpit and Nepicar Sandpit</w:t>
      </w:r>
      <w:r>
        <w:t xml:space="preserve"> have HGV number restrictions that will inhibit faster extraction and subsequent landfill.</w:t>
      </w:r>
    </w:p>
    <w:p w:rsidR="00EC7561" w:rsidRDefault="00EC7561"/>
    <w:p w:rsidR="00442AB8" w:rsidRDefault="00442AB8">
      <w:r>
        <w:t xml:space="preserve">7. </w:t>
      </w:r>
      <w:r w:rsidRPr="00EC7561">
        <w:rPr>
          <w:b/>
        </w:rPr>
        <w:t>Ightham Sandpit, Borough Green sandpit and Park Farm Claypit</w:t>
      </w:r>
      <w:r>
        <w:t xml:space="preserve">, and the Nepicar pit each </w:t>
      </w:r>
      <w:r w:rsidR="00860827">
        <w:t>separately</w:t>
      </w:r>
      <w:r>
        <w:t xml:space="preserve"> block the site north to south, the route of the Relief Road through the site.</w:t>
      </w:r>
      <w:r w:rsidR="00860827">
        <w:t xml:space="preserve"> Each needs to substantially completed before the Relief road and the MGB justification can be realised.</w:t>
      </w:r>
    </w:p>
    <w:p w:rsidR="00EC7561" w:rsidRDefault="00EC7561"/>
    <w:p w:rsidR="00442AB8" w:rsidRDefault="00860827">
      <w:r>
        <w:t xml:space="preserve">8. </w:t>
      </w:r>
      <w:r w:rsidRPr="00EC7561">
        <w:rPr>
          <w:b/>
        </w:rPr>
        <w:t>HGV movements</w:t>
      </w:r>
      <w:r>
        <w:t xml:space="preserve"> to finish excavation and landfill the sites will have a severe impact on traffic levels and the AQMA that the scheme purports to be resolving.</w:t>
      </w:r>
    </w:p>
    <w:p w:rsidR="00EC7561" w:rsidRDefault="00EC7561"/>
    <w:p w:rsidR="00860827" w:rsidRDefault="00860827">
      <w:r>
        <w:t>9</w:t>
      </w:r>
      <w:r w:rsidRPr="00EC7561">
        <w:rPr>
          <w:b/>
        </w:rPr>
        <w:t>. Landfill space nationally</w:t>
      </w:r>
      <w:r>
        <w:t xml:space="preserve"> is severely constrained, and recycling in landfill sites is a crucially important element.</w:t>
      </w:r>
    </w:p>
    <w:p w:rsidR="00EC7561" w:rsidRDefault="00EC7561"/>
    <w:p w:rsidR="00860827" w:rsidRPr="00BB146C" w:rsidRDefault="00860827">
      <w:pPr>
        <w:rPr>
          <w:color w:val="FF0000"/>
        </w:rPr>
      </w:pPr>
      <w:r>
        <w:t xml:space="preserve">10. </w:t>
      </w:r>
      <w:r w:rsidRPr="00EC7561">
        <w:rPr>
          <w:b/>
        </w:rPr>
        <w:t>Building Sand</w:t>
      </w:r>
      <w:r>
        <w:t xml:space="preserve"> is a nationally Strategic Mineral, and particularly important to </w:t>
      </w:r>
      <w:proofErr w:type="spellStart"/>
      <w:r>
        <w:t>housebuilding</w:t>
      </w:r>
      <w:proofErr w:type="spellEnd"/>
      <w:r>
        <w:t xml:space="preserve"> at this time.</w:t>
      </w:r>
      <w:r w:rsidR="00EC7561">
        <w:t xml:space="preserve"> </w:t>
      </w:r>
      <w:r w:rsidR="00EC7561" w:rsidRPr="00BB146C">
        <w:rPr>
          <w:color w:val="FF0000"/>
        </w:rPr>
        <w:t xml:space="preserve">Current reserves run out in </w:t>
      </w:r>
      <w:r w:rsidR="00BB146C" w:rsidRPr="00BB146C">
        <w:rPr>
          <w:b/>
          <w:color w:val="FF0000"/>
        </w:rPr>
        <w:t>202</w:t>
      </w:r>
      <w:r w:rsidR="00EC7561" w:rsidRPr="00BB146C">
        <w:rPr>
          <w:b/>
          <w:color w:val="FF0000"/>
        </w:rPr>
        <w:t>3</w:t>
      </w:r>
      <w:r w:rsidR="00EC7561" w:rsidRPr="00BB146C">
        <w:rPr>
          <w:color w:val="FF0000"/>
        </w:rPr>
        <w:t>.</w:t>
      </w:r>
    </w:p>
    <w:p w:rsidR="00EC7561" w:rsidRDefault="00EC7561"/>
    <w:p w:rsidR="009E2BAA" w:rsidRDefault="009E2BAA">
      <w:r>
        <w:t>11. There is no evidence to suggest that even if HGV numbers were unrestricted, that the market could receive the volumes of sand involved, nor supply the necessary infill material, even if recycling were abandoned.</w:t>
      </w:r>
    </w:p>
    <w:p w:rsidR="003C32CC" w:rsidRDefault="003C32CC">
      <w:r>
        <w:t>It must be borne in mind that no local Quarry or Sandpit has ever completed extraction and restoration within the first permitted time frame, they always apply for r</w:t>
      </w:r>
      <w:r w:rsidR="00EC7561">
        <w:t>e-</w:t>
      </w:r>
      <w:r>
        <w:t xml:space="preserve">extensions, and many of these estimates are based </w:t>
      </w:r>
      <w:proofErr w:type="spellStart"/>
      <w:r>
        <w:t>of</w:t>
      </w:r>
      <w:proofErr w:type="spellEnd"/>
      <w:r>
        <w:t xml:space="preserve"> pre-recycling policies.</w:t>
      </w:r>
    </w:p>
    <w:p w:rsidR="00EC7561" w:rsidRDefault="00EC7561"/>
    <w:p w:rsidR="00EC7561" w:rsidRDefault="00EC7561"/>
    <w:p w:rsidR="00EC7561" w:rsidRDefault="00EC7561"/>
    <w:p w:rsidR="00EC7561" w:rsidRDefault="00EC7561"/>
    <w:p w:rsidR="00665F7A" w:rsidRPr="00827987" w:rsidRDefault="00665F7A">
      <w:pPr>
        <w:rPr>
          <w:rFonts w:ascii="Arial Black" w:hAnsi="Arial Black"/>
        </w:rPr>
      </w:pPr>
      <w:r w:rsidRPr="00827987">
        <w:rPr>
          <w:rFonts w:ascii="Arial Black" w:hAnsi="Arial Black"/>
        </w:rPr>
        <w:t>IGHTHAM SANDPIT</w:t>
      </w:r>
      <w:r w:rsidR="00860827">
        <w:rPr>
          <w:rFonts w:ascii="Arial Black" w:hAnsi="Arial Black"/>
        </w:rPr>
        <w:t xml:space="preserve">    </w:t>
      </w:r>
      <w:r w:rsidR="00860827" w:rsidRPr="00860827">
        <w:rPr>
          <w:rFonts w:ascii="Arial" w:hAnsi="Arial" w:cs="Arial"/>
        </w:rPr>
        <w:t>Rear of H+H Celcon Factory</w:t>
      </w:r>
      <w:r w:rsidR="00860827">
        <w:rPr>
          <w:rFonts w:ascii="Arial Black" w:hAnsi="Arial Black"/>
        </w:rPr>
        <w:t xml:space="preserve"> </w:t>
      </w:r>
      <w:r w:rsidR="00860827" w:rsidRPr="00860827">
        <w:rPr>
          <w:rFonts w:ascii="Arial" w:hAnsi="Arial" w:cs="Arial"/>
        </w:rPr>
        <w:t>Contaminated landfill</w:t>
      </w:r>
    </w:p>
    <w:p w:rsidR="00665F7A" w:rsidRPr="00827987" w:rsidRDefault="00665F7A">
      <w:pPr>
        <w:rPr>
          <w:rFonts w:ascii="Arial Black" w:hAnsi="Arial Black"/>
        </w:rPr>
      </w:pPr>
      <w:r w:rsidRPr="00827987">
        <w:rPr>
          <w:rFonts w:ascii="Arial Black" w:hAnsi="Arial Black"/>
        </w:rPr>
        <w:t>BOROUGH GREEN LANDFILL</w:t>
      </w:r>
      <w:r w:rsidR="002A7F1E">
        <w:rPr>
          <w:rFonts w:ascii="Arial Black" w:hAnsi="Arial Black"/>
        </w:rPr>
        <w:t xml:space="preserve">  </w:t>
      </w:r>
      <w:r w:rsidR="002A7F1E" w:rsidRPr="002A7F1E">
        <w:rPr>
          <w:rFonts w:ascii="Arial" w:hAnsi="Arial" w:cs="Arial"/>
        </w:rPr>
        <w:t>(</w:t>
      </w:r>
      <w:r w:rsidR="002A7F1E">
        <w:rPr>
          <w:rFonts w:ascii="Arial" w:hAnsi="Arial" w:cs="Arial"/>
        </w:rPr>
        <w:t xml:space="preserve"> Wrotham Rd, </w:t>
      </w:r>
      <w:r w:rsidR="002A7F1E" w:rsidRPr="002A7F1E">
        <w:rPr>
          <w:rFonts w:ascii="Arial" w:hAnsi="Arial" w:cs="Arial"/>
        </w:rPr>
        <w:t>Part Historic Landfill still operating today)</w:t>
      </w:r>
    </w:p>
    <w:p w:rsidR="00665F7A" w:rsidRDefault="00665F7A">
      <w:pPr>
        <w:rPr>
          <w:rFonts w:ascii="Arial" w:hAnsi="Arial" w:cs="Arial"/>
        </w:rPr>
      </w:pPr>
      <w:r w:rsidRPr="00827987">
        <w:rPr>
          <w:rFonts w:ascii="Arial Black" w:hAnsi="Arial Black"/>
        </w:rPr>
        <w:t>BOROUGH GREEN SANDPIT</w:t>
      </w:r>
      <w:r w:rsidR="002A7F1E">
        <w:rPr>
          <w:rFonts w:ascii="Arial Black" w:hAnsi="Arial Black"/>
        </w:rPr>
        <w:t xml:space="preserve">  </w:t>
      </w:r>
      <w:r w:rsidR="002A7F1E" w:rsidRPr="002A7F1E">
        <w:rPr>
          <w:rFonts w:ascii="Arial" w:hAnsi="Arial" w:cs="Arial"/>
        </w:rPr>
        <w:t>(</w:t>
      </w:r>
      <w:r w:rsidR="002A7F1E">
        <w:rPr>
          <w:rFonts w:ascii="Arial" w:hAnsi="Arial" w:cs="Arial"/>
        </w:rPr>
        <w:t xml:space="preserve">Off Platt </w:t>
      </w:r>
      <w:proofErr w:type="spellStart"/>
      <w:r w:rsidR="002A7F1E">
        <w:rPr>
          <w:rFonts w:ascii="Arial" w:hAnsi="Arial" w:cs="Arial"/>
        </w:rPr>
        <w:t>Ind</w:t>
      </w:r>
      <w:proofErr w:type="spellEnd"/>
      <w:r w:rsidR="002A7F1E">
        <w:rPr>
          <w:rFonts w:ascii="Arial" w:hAnsi="Arial" w:cs="Arial"/>
        </w:rPr>
        <w:t xml:space="preserve"> </w:t>
      </w:r>
      <w:proofErr w:type="spellStart"/>
      <w:r w:rsidR="002A7F1E">
        <w:rPr>
          <w:rFonts w:ascii="Arial" w:hAnsi="Arial" w:cs="Arial"/>
        </w:rPr>
        <w:t>Est</w:t>
      </w:r>
      <w:proofErr w:type="spellEnd"/>
      <w:r w:rsidR="002A7F1E">
        <w:rPr>
          <w:rFonts w:ascii="Arial" w:hAnsi="Arial" w:cs="Arial"/>
        </w:rPr>
        <w:t xml:space="preserve">, Maidstone Rd, </w:t>
      </w:r>
      <w:r w:rsidR="002A7F1E" w:rsidRPr="002A7F1E">
        <w:rPr>
          <w:rFonts w:ascii="Arial" w:hAnsi="Arial" w:cs="Arial"/>
        </w:rPr>
        <w:t>Part Histori</w:t>
      </w:r>
      <w:r w:rsidR="002A7F1E">
        <w:rPr>
          <w:rFonts w:ascii="Arial" w:hAnsi="Arial" w:cs="Arial"/>
        </w:rPr>
        <w:t>c Landfill still operating</w:t>
      </w:r>
      <w:r w:rsidR="002A7F1E" w:rsidRPr="002A7F1E">
        <w:rPr>
          <w:rFonts w:ascii="Arial" w:hAnsi="Arial" w:cs="Arial"/>
        </w:rPr>
        <w:t>)</w:t>
      </w:r>
    </w:p>
    <w:p w:rsidR="00557625" w:rsidRDefault="00557625">
      <w:pPr>
        <w:rPr>
          <w:rFonts w:ascii="Arial" w:hAnsi="Arial" w:cs="Arial"/>
        </w:rPr>
      </w:pPr>
      <w:r w:rsidRPr="00557625">
        <w:rPr>
          <w:rFonts w:ascii="Arial Black" w:hAnsi="Arial Black" w:cs="Arial"/>
        </w:rPr>
        <w:t>PARK FARM QUARRY (CLAYPIT)</w:t>
      </w:r>
      <w:r>
        <w:rPr>
          <w:rFonts w:ascii="Arial" w:hAnsi="Arial" w:cs="Arial"/>
        </w:rPr>
        <w:t xml:space="preserve"> North of Borough Green Sandpit</w:t>
      </w:r>
    </w:p>
    <w:p w:rsidR="00557625" w:rsidRPr="00827987" w:rsidRDefault="00557625">
      <w:pPr>
        <w:rPr>
          <w:rFonts w:ascii="Arial Black" w:hAnsi="Arial Black"/>
        </w:rPr>
      </w:pPr>
      <w:r w:rsidRPr="00557625">
        <w:rPr>
          <w:rFonts w:ascii="Arial Black" w:hAnsi="Arial Black" w:cs="Arial"/>
        </w:rPr>
        <w:t>NEPICAR SANDPIT</w:t>
      </w:r>
      <w:r>
        <w:rPr>
          <w:rFonts w:ascii="Arial" w:hAnsi="Arial" w:cs="Arial"/>
        </w:rPr>
        <w:t xml:space="preserve">  East of Platt </w:t>
      </w:r>
      <w:proofErr w:type="spellStart"/>
      <w:r>
        <w:rPr>
          <w:rFonts w:ascii="Arial" w:hAnsi="Arial" w:cs="Arial"/>
        </w:rPr>
        <w:t>Ind</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on Maidstone Rd Platt</w:t>
      </w:r>
    </w:p>
    <w:p w:rsidR="00AA2403" w:rsidRDefault="00AA2403"/>
    <w:p w:rsidR="00557625" w:rsidRPr="00827987" w:rsidRDefault="00557625" w:rsidP="00557625">
      <w:pPr>
        <w:rPr>
          <w:rFonts w:ascii="Arial Black" w:hAnsi="Arial Black"/>
        </w:rPr>
      </w:pPr>
      <w:r w:rsidRPr="00827987">
        <w:rPr>
          <w:rFonts w:ascii="Arial Black" w:hAnsi="Arial Black"/>
        </w:rPr>
        <w:t>JOCO PIT</w:t>
      </w:r>
      <w:r>
        <w:rPr>
          <w:rFonts w:ascii="Arial Black" w:hAnsi="Arial Black"/>
        </w:rPr>
        <w:t xml:space="preserve"> </w:t>
      </w:r>
      <w:r w:rsidRPr="007B2451">
        <w:rPr>
          <w:rFonts w:ascii="Arial" w:hAnsi="Arial" w:cs="Arial"/>
        </w:rPr>
        <w:t>(Wrotham Rd, now Tolsey Mead and Eaglestone Close)</w:t>
      </w:r>
    </w:p>
    <w:p w:rsidR="00557625" w:rsidRPr="00827987" w:rsidRDefault="00557625" w:rsidP="00557625">
      <w:pPr>
        <w:rPr>
          <w:rFonts w:ascii="Arial Black" w:hAnsi="Arial Black"/>
        </w:rPr>
      </w:pPr>
      <w:r w:rsidRPr="00827987">
        <w:rPr>
          <w:rFonts w:ascii="Arial Black" w:hAnsi="Arial Black"/>
        </w:rPr>
        <w:t xml:space="preserve">ISLES QUARRY WEST </w:t>
      </w:r>
      <w:r>
        <w:rPr>
          <w:rFonts w:ascii="Arial" w:hAnsi="Arial" w:cs="Arial"/>
        </w:rPr>
        <w:t>(off Darkhill Road, now Hazelbourne Ave</w:t>
      </w:r>
      <w:r w:rsidRPr="007B2451">
        <w:rPr>
          <w:rFonts w:ascii="Arial" w:hAnsi="Arial" w:cs="Arial"/>
        </w:rPr>
        <w:t xml:space="preserve">, Isles Quarry Rd, </w:t>
      </w:r>
      <w:proofErr w:type="spellStart"/>
      <w:r w:rsidRPr="007B2451">
        <w:rPr>
          <w:rFonts w:ascii="Arial" w:hAnsi="Arial" w:cs="Arial"/>
        </w:rPr>
        <w:t>Bangays</w:t>
      </w:r>
      <w:proofErr w:type="spellEnd"/>
      <w:r w:rsidRPr="007B2451">
        <w:rPr>
          <w:rFonts w:ascii="Arial" w:hAnsi="Arial" w:cs="Arial"/>
        </w:rPr>
        <w:t xml:space="preserve"> Way)</w:t>
      </w:r>
    </w:p>
    <w:p w:rsidR="00557625" w:rsidRPr="002A7F1E" w:rsidRDefault="00557625" w:rsidP="00557625">
      <w:pPr>
        <w:rPr>
          <w:rFonts w:ascii="Arial" w:hAnsi="Arial" w:cs="Arial"/>
        </w:rPr>
      </w:pPr>
      <w:r>
        <w:rPr>
          <w:rFonts w:ascii="Arial Black" w:hAnsi="Arial Black"/>
        </w:rPr>
        <w:t xml:space="preserve">A-Z Site </w:t>
      </w:r>
      <w:r w:rsidRPr="002A7F1E">
        <w:rPr>
          <w:rFonts w:ascii="Arial" w:hAnsi="Arial" w:cs="Arial"/>
        </w:rPr>
        <w:t>(Off Fairfield Rd,</w:t>
      </w:r>
      <w:r>
        <w:rPr>
          <w:rFonts w:ascii="Arial" w:hAnsi="Arial" w:cs="Arial"/>
        </w:rPr>
        <w:t xml:space="preserve"> Formerly Novellos and A-Z factories,</w:t>
      </w:r>
      <w:r w:rsidRPr="002A7F1E">
        <w:rPr>
          <w:rFonts w:ascii="Arial" w:hAnsi="Arial" w:cs="Arial"/>
        </w:rPr>
        <w:t xml:space="preserve"> now Talbot Way and Pearsall Way)</w:t>
      </w:r>
    </w:p>
    <w:p w:rsidR="00557625" w:rsidRDefault="00557625" w:rsidP="00557625"/>
    <w:p w:rsidR="00557625" w:rsidRDefault="00557625" w:rsidP="00557625">
      <w:r>
        <w:t>These last three sites are not within the Borough Green Garden City proposal, but we need to learn from the mistakes made during and since development of these completed sites, to ensure the lessons learn</w:t>
      </w:r>
      <w:r w:rsidR="00CC48F4">
        <w:t>ed are carried forward and</w:t>
      </w:r>
      <w:r>
        <w:t xml:space="preserve"> the BGGC proposal protects the new residents, water supplies and the surrounding area.</w:t>
      </w:r>
    </w:p>
    <w:p w:rsidR="00CC48F4" w:rsidRDefault="00CC48F4" w:rsidP="00557625"/>
    <w:p w:rsidR="00CC48F4" w:rsidRDefault="00CC48F4" w:rsidP="00CC48F4">
      <w:r>
        <w:t>We need more robust Local Plan Policies on Construction on Historic Landfill Sites, Contamination Remediation, and Developer Viability, and these are discussed at greater length in the attached Landfill Report.</w:t>
      </w:r>
    </w:p>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EC7561" w:rsidRDefault="00EC7561" w:rsidP="00CC48F4"/>
    <w:p w:rsidR="00221092" w:rsidRDefault="00221092" w:rsidP="00CC48F4"/>
    <w:p w:rsidR="00CC48F4" w:rsidRPr="00CC48F4" w:rsidRDefault="00CC48F4" w:rsidP="00CC48F4">
      <w:r>
        <w:rPr>
          <w:rFonts w:ascii="Arial Black" w:hAnsi="Arial Black"/>
        </w:rPr>
        <w:lastRenderedPageBreak/>
        <w:t xml:space="preserve">CURRENT </w:t>
      </w:r>
      <w:r w:rsidRPr="00827987">
        <w:rPr>
          <w:rFonts w:ascii="Arial Black" w:hAnsi="Arial Black"/>
        </w:rPr>
        <w:t>LANDFILL MAP</w:t>
      </w:r>
      <w:r>
        <w:rPr>
          <w:rFonts w:ascii="Arial Black" w:hAnsi="Arial Black"/>
        </w:rPr>
        <w:t xml:space="preserve"> JUNE 2018</w:t>
      </w:r>
    </w:p>
    <w:p w:rsidR="00CD73EA" w:rsidRDefault="00CD73EA"/>
    <w:p w:rsidR="00CD73EA" w:rsidRDefault="00CC48F4">
      <w:r w:rsidRPr="00557625">
        <w:rPr>
          <w:noProof/>
          <w:lang w:eastAsia="en-GB"/>
        </w:rPr>
        <w:drawing>
          <wp:inline distT="0" distB="0" distL="0" distR="0">
            <wp:extent cx="4581942" cy="9353550"/>
            <wp:effectExtent l="19050" t="0" r="9108" b="0"/>
            <wp:docPr id="1" name="Picture 23" descr="LP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andfill.jpg"/>
                    <pic:cNvPicPr/>
                  </pic:nvPicPr>
                  <pic:blipFill>
                    <a:blip r:embed="rId5" cstate="print"/>
                    <a:stretch>
                      <a:fillRect/>
                    </a:stretch>
                  </pic:blipFill>
                  <pic:spPr>
                    <a:xfrm>
                      <a:off x="0" y="0"/>
                      <a:ext cx="4583612" cy="9356960"/>
                    </a:xfrm>
                    <a:prstGeom prst="rect">
                      <a:avLst/>
                    </a:prstGeom>
                  </pic:spPr>
                </pic:pic>
              </a:graphicData>
            </a:graphic>
          </wp:inline>
        </w:drawing>
      </w:r>
    </w:p>
    <w:p w:rsidR="00840E25" w:rsidRDefault="00840E25"/>
    <w:p w:rsidR="00827987" w:rsidRDefault="00827987"/>
    <w:p w:rsidR="00AA2403" w:rsidRPr="00827987" w:rsidRDefault="00AA2403">
      <w:pPr>
        <w:rPr>
          <w:rFonts w:ascii="Arial Black" w:hAnsi="Arial Black"/>
        </w:rPr>
      </w:pPr>
      <w:r w:rsidRPr="00827987">
        <w:rPr>
          <w:rFonts w:ascii="Arial Black" w:hAnsi="Arial Black"/>
        </w:rPr>
        <w:t>IGHTHAM SANDPIT</w:t>
      </w:r>
    </w:p>
    <w:p w:rsidR="00AA2403" w:rsidRPr="00827987" w:rsidRDefault="00AA2403">
      <w:pPr>
        <w:rPr>
          <w:rFonts w:ascii="Arial Black" w:hAnsi="Arial Black"/>
        </w:rPr>
      </w:pPr>
      <w:r w:rsidRPr="00827987">
        <w:rPr>
          <w:rFonts w:ascii="Arial Black" w:hAnsi="Arial Black"/>
        </w:rPr>
        <w:t>North East of the H+H Celcon Plant, and owned by them.</w:t>
      </w:r>
    </w:p>
    <w:p w:rsidR="00AA2403" w:rsidRDefault="00AA2403"/>
    <w:p w:rsidR="0047497A" w:rsidRDefault="00AA2403">
      <w:r>
        <w:t xml:space="preserve">This land was excavated for sand by Kent White Brick from the 1950s, </w:t>
      </w:r>
      <w:r w:rsidR="0047497A">
        <w:t>probably finishing about 1990. The land was then  operated by H+H Celcon Ltd under TM/87/346.</w:t>
      </w:r>
    </w:p>
    <w:p w:rsidR="0047497A" w:rsidRDefault="0047497A">
      <w:r>
        <w:t>L</w:t>
      </w:r>
      <w:r w:rsidR="00AA2403">
        <w:t xml:space="preserve">andfill </w:t>
      </w:r>
      <w:r>
        <w:t xml:space="preserve">was </w:t>
      </w:r>
      <w:r w:rsidR="00AA2403">
        <w:t xml:space="preserve">carried out from 1991 to 2000, </w:t>
      </w:r>
      <w:r>
        <w:t xml:space="preserve">ostensibly using hassock from Stangate and Isles Quarries, </w:t>
      </w:r>
      <w:r w:rsidR="00AA2403">
        <w:t xml:space="preserve">but very little is known about where the fill </w:t>
      </w:r>
      <w:r>
        <w:t xml:space="preserve">really </w:t>
      </w:r>
      <w:r w:rsidR="00AA2403">
        <w:t>came from</w:t>
      </w:r>
      <w:r>
        <w:t>, and the EA and KCC seem unaware of any landfill permission or monitoring</w:t>
      </w:r>
      <w:r w:rsidR="00AA2403">
        <w:t>. However, there are strong suspicions, supported by anecdotal evidence, that</w:t>
      </w:r>
      <w:r w:rsidR="00D15DB7">
        <w:t xml:space="preserve"> the fill came from the BP Isle</w:t>
      </w:r>
      <w:r w:rsidR="00AA2403">
        <w:t xml:space="preserve"> of Grain terminal, and the Greenwich Gas Works , when these sites were decommissioned and decontaminated. </w:t>
      </w:r>
    </w:p>
    <w:p w:rsidR="0047497A" w:rsidRDefault="0047497A"/>
    <w:p w:rsidR="00AA2403" w:rsidRDefault="00AA2403">
      <w:r>
        <w:t>This supposition is strongly supported by the 2006 ES Addendum, a study carried out for the Celcon2 Factory application in 2005</w:t>
      </w:r>
      <w:r w:rsidR="0047497A">
        <w:t xml:space="preserve"> TM/03/02563</w:t>
      </w:r>
      <w:r>
        <w:t>, which collapsed at Inquiry in 2007</w:t>
      </w:r>
      <w:r w:rsidR="002A7501">
        <w:t xml:space="preserve">. This site investigation highlights large amounts of oily contaminated material, plastic, brick and concrete, </w:t>
      </w:r>
      <w:proofErr w:type="spellStart"/>
      <w:r w:rsidR="002A7501">
        <w:t>pipework</w:t>
      </w:r>
      <w:proofErr w:type="spellEnd"/>
      <w:r w:rsidR="002A7501">
        <w:t>, steel, and drums of unknown contents.</w:t>
      </w:r>
    </w:p>
    <w:p w:rsidR="0047497A" w:rsidRDefault="0047497A"/>
    <w:p w:rsidR="0047497A" w:rsidRDefault="0047497A">
      <w:r>
        <w:t>H+H C</w:t>
      </w:r>
      <w:r w:rsidR="00D15DB7">
        <w:t>elcon have a current variation application to import Sand from elsewhere for the block making operation.</w:t>
      </w:r>
    </w:p>
    <w:p w:rsidR="00914F5F" w:rsidRPr="00914F5F" w:rsidRDefault="00914F5F">
      <w:pPr>
        <w:rPr>
          <w:b/>
        </w:rPr>
      </w:pPr>
      <w:r w:rsidRPr="00914F5F">
        <w:rPr>
          <w:b/>
        </w:rPr>
        <w:t>HGVs restricted to 340 per day, 170m each way</w:t>
      </w:r>
    </w:p>
    <w:p w:rsidR="003C06FB" w:rsidRDefault="003C06FB"/>
    <w:p w:rsidR="00D15DB7" w:rsidRPr="003C06FB" w:rsidRDefault="00D15DB7">
      <w:pPr>
        <w:rPr>
          <w:i/>
        </w:rPr>
      </w:pPr>
      <w:r w:rsidRPr="003C06FB">
        <w:rPr>
          <w:i/>
        </w:rPr>
        <w:t>Attached Evidence:</w:t>
      </w:r>
    </w:p>
    <w:p w:rsidR="00D15DB7" w:rsidRPr="003C06FB" w:rsidRDefault="00D15DB7">
      <w:pPr>
        <w:rPr>
          <w:i/>
        </w:rPr>
      </w:pPr>
      <w:r w:rsidRPr="003C06FB">
        <w:rPr>
          <w:i/>
        </w:rPr>
        <w:t>2006 Southern Testing Ltd "Site Investigations and Risk Assessment Addendum" (TM/</w:t>
      </w:r>
      <w:r w:rsidR="003C06FB" w:rsidRPr="003C06FB">
        <w:rPr>
          <w:i/>
        </w:rPr>
        <w:t>03/02563 inquiry)</w:t>
      </w:r>
    </w:p>
    <w:p w:rsidR="003C06FB" w:rsidRPr="003C06FB" w:rsidRDefault="003C06FB">
      <w:pPr>
        <w:rPr>
          <w:i/>
        </w:rPr>
      </w:pPr>
      <w:r w:rsidRPr="003C06FB">
        <w:rPr>
          <w:i/>
        </w:rPr>
        <w:t>2018 Local Plan Submission Wrotham Parish Council et al</w:t>
      </w:r>
    </w:p>
    <w:p w:rsidR="003C06FB" w:rsidRPr="003C06FB" w:rsidRDefault="003C06FB">
      <w:pPr>
        <w:rPr>
          <w:i/>
        </w:rPr>
      </w:pPr>
      <w:r w:rsidRPr="003C06FB">
        <w:rPr>
          <w:i/>
        </w:rPr>
        <w:t>2006 Barton Willmore covering letter (inquiry evidence.</w:t>
      </w:r>
    </w:p>
    <w:p w:rsidR="003C06FB" w:rsidRPr="003C06FB" w:rsidRDefault="003C06FB">
      <w:pPr>
        <w:rPr>
          <w:i/>
        </w:rPr>
      </w:pPr>
      <w:r w:rsidRPr="003C06FB">
        <w:rPr>
          <w:i/>
        </w:rPr>
        <w:t>Decision TM/87/346</w:t>
      </w:r>
    </w:p>
    <w:p w:rsidR="00373559" w:rsidRDefault="00373559"/>
    <w:p w:rsidR="00373559" w:rsidRPr="006832B2" w:rsidRDefault="00005A46" w:rsidP="006832B2">
      <w:pPr>
        <w:rPr>
          <w:i/>
        </w:rPr>
      </w:pPr>
      <w:r>
        <w:rPr>
          <w:i/>
        </w:rPr>
        <w:t>1984 Ightham Sandpit a</w:t>
      </w:r>
      <w:r w:rsidR="00373559" w:rsidRPr="006832B2">
        <w:rPr>
          <w:i/>
        </w:rPr>
        <w:t>lready shown as disused</w:t>
      </w:r>
      <w:r w:rsidR="00CC48F4">
        <w:rPr>
          <w:i/>
        </w:rPr>
        <w:t xml:space="preserve"> </w:t>
      </w:r>
    </w:p>
    <w:p w:rsidR="00373559" w:rsidRDefault="00373559">
      <w:r>
        <w:rPr>
          <w:noProof/>
          <w:lang w:eastAsia="en-GB"/>
        </w:rPr>
        <w:drawing>
          <wp:inline distT="0" distB="0" distL="0" distR="0">
            <wp:extent cx="4200525" cy="4914900"/>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4200525" cy="4914900"/>
                    </a:xfrm>
                    <a:prstGeom prst="rect">
                      <a:avLst/>
                    </a:prstGeom>
                    <a:noFill/>
                    <a:ln w="9525">
                      <a:noFill/>
                      <a:miter lim="800000"/>
                      <a:headEnd/>
                      <a:tailEnd/>
                    </a:ln>
                  </pic:spPr>
                </pic:pic>
              </a:graphicData>
            </a:graphic>
          </wp:inline>
        </w:drawing>
      </w:r>
    </w:p>
    <w:p w:rsidR="00615F45" w:rsidRDefault="00615F45"/>
    <w:p w:rsidR="003C06FB" w:rsidRDefault="003C06FB" w:rsidP="00615F45">
      <w:pPr>
        <w:jc w:val="right"/>
      </w:pPr>
    </w:p>
    <w:p w:rsidR="003C06FB" w:rsidRDefault="003C06FB" w:rsidP="00615F45">
      <w:pPr>
        <w:jc w:val="right"/>
      </w:pPr>
    </w:p>
    <w:p w:rsidR="003C06FB" w:rsidRDefault="003C06FB" w:rsidP="00615F45">
      <w:pPr>
        <w:jc w:val="right"/>
      </w:pPr>
    </w:p>
    <w:p w:rsidR="00615F45" w:rsidRDefault="00CC48F4" w:rsidP="00615F45">
      <w:pPr>
        <w:jc w:val="right"/>
      </w:pPr>
      <w:r>
        <w:t xml:space="preserve">(Extract </w:t>
      </w:r>
      <w:r w:rsidR="00615F45">
        <w:t xml:space="preserve">   1929)</w:t>
      </w:r>
    </w:p>
    <w:p w:rsidR="00615F45" w:rsidRDefault="00615F45">
      <w:r>
        <w:rPr>
          <w:noProof/>
          <w:lang w:eastAsia="en-GB"/>
        </w:rPr>
        <w:drawing>
          <wp:inline distT="0" distB="0" distL="0" distR="0">
            <wp:extent cx="6645910" cy="2077838"/>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45910" cy="2077838"/>
                    </a:xfrm>
                    <a:prstGeom prst="rect">
                      <a:avLst/>
                    </a:prstGeom>
                    <a:noFill/>
                    <a:ln w="9525">
                      <a:noFill/>
                      <a:miter lim="800000"/>
                      <a:headEnd/>
                      <a:tailEnd/>
                    </a:ln>
                  </pic:spPr>
                </pic:pic>
              </a:graphicData>
            </a:graphic>
          </wp:inline>
        </w:drawing>
      </w:r>
    </w:p>
    <w:p w:rsidR="003C06FB" w:rsidRDefault="003C06FB"/>
    <w:p w:rsidR="0047497A" w:rsidRDefault="003C06FB" w:rsidP="003C06FB">
      <w:pPr>
        <w:jc w:val="right"/>
      </w:pPr>
      <w:r>
        <w:t>Aerial View Ightham Sandpit June 2018 looking East</w:t>
      </w:r>
    </w:p>
    <w:p w:rsidR="00CC48F4" w:rsidRDefault="00CC48F4" w:rsidP="003C06FB">
      <w:pPr>
        <w:jc w:val="right"/>
      </w:pPr>
      <w:r>
        <w:t>Borough Green Landfill immediately beyond that,</w:t>
      </w:r>
    </w:p>
    <w:p w:rsidR="00CC48F4" w:rsidRDefault="00CC48F4" w:rsidP="003C06FB">
      <w:pPr>
        <w:jc w:val="right"/>
      </w:pPr>
      <w:r>
        <w:t>and Borough Green and Nepicar Sandpits in the distance</w:t>
      </w:r>
    </w:p>
    <w:p w:rsidR="0047497A" w:rsidRDefault="0047497A">
      <w:r>
        <w:rPr>
          <w:noProof/>
          <w:lang w:eastAsia="en-GB"/>
        </w:rPr>
        <w:drawing>
          <wp:inline distT="0" distB="0" distL="0" distR="0">
            <wp:extent cx="6645910" cy="4418965"/>
            <wp:effectExtent l="19050" t="0" r="2540" b="0"/>
            <wp:docPr id="15" name="Picture 14" descr="i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JPG"/>
                    <pic:cNvPicPr/>
                  </pic:nvPicPr>
                  <pic:blipFill>
                    <a:blip r:embed="rId8" cstate="print"/>
                    <a:stretch>
                      <a:fillRect/>
                    </a:stretch>
                  </pic:blipFill>
                  <pic:spPr>
                    <a:xfrm>
                      <a:off x="0" y="0"/>
                      <a:ext cx="6645910" cy="4418965"/>
                    </a:xfrm>
                    <a:prstGeom prst="rect">
                      <a:avLst/>
                    </a:prstGeom>
                  </pic:spPr>
                </pic:pic>
              </a:graphicData>
            </a:graphic>
          </wp:inline>
        </w:drawing>
      </w:r>
    </w:p>
    <w:p w:rsidR="003C06FB" w:rsidRDefault="003C06FB"/>
    <w:p w:rsidR="003C06FB" w:rsidRDefault="003C06FB"/>
    <w:p w:rsidR="003C06FB" w:rsidRDefault="003C06FB"/>
    <w:p w:rsidR="003C06FB" w:rsidRDefault="003C06FB"/>
    <w:p w:rsidR="003C06FB" w:rsidRDefault="003C06FB"/>
    <w:p w:rsidR="003C06FB" w:rsidRDefault="003C06FB"/>
    <w:p w:rsidR="003C06FB" w:rsidRDefault="003C06FB"/>
    <w:p w:rsidR="003C06FB" w:rsidRDefault="003C06FB"/>
    <w:p w:rsidR="003C06FB" w:rsidRDefault="003C06FB"/>
    <w:p w:rsidR="003C06FB" w:rsidRDefault="003C06FB"/>
    <w:p w:rsidR="003C06FB" w:rsidRDefault="003C06FB"/>
    <w:p w:rsidR="00CC48F4" w:rsidRDefault="00CC48F4"/>
    <w:p w:rsidR="002A7501" w:rsidRPr="00827987" w:rsidRDefault="002A7501">
      <w:pPr>
        <w:rPr>
          <w:rFonts w:ascii="Arial Black" w:hAnsi="Arial Black"/>
        </w:rPr>
      </w:pPr>
      <w:r w:rsidRPr="00827987">
        <w:rPr>
          <w:rFonts w:ascii="Arial Black" w:hAnsi="Arial Black"/>
        </w:rPr>
        <w:lastRenderedPageBreak/>
        <w:t>BOROUGH GREEN LANDFILL</w:t>
      </w:r>
      <w:r w:rsidR="003C06FB">
        <w:rPr>
          <w:rFonts w:ascii="Arial Black" w:hAnsi="Arial Black"/>
        </w:rPr>
        <w:t xml:space="preserve">  </w:t>
      </w:r>
      <w:r w:rsidR="003C06FB" w:rsidRPr="003C06FB">
        <w:rPr>
          <w:rFonts w:ascii="Arial" w:hAnsi="Arial" w:cs="Arial"/>
        </w:rPr>
        <w:t>(Wrotham Road, Borough Green)</w:t>
      </w:r>
    </w:p>
    <w:p w:rsidR="00827987" w:rsidRDefault="002A7501">
      <w:r w:rsidRPr="00827987">
        <w:rPr>
          <w:rFonts w:ascii="Arial Black" w:hAnsi="Arial Black"/>
        </w:rPr>
        <w:t>(FORMERLY TALBOT SANDPIT</w:t>
      </w:r>
      <w:r w:rsidR="002E37A9">
        <w:rPr>
          <w:rFonts w:ascii="Arial Black" w:hAnsi="Arial Black"/>
        </w:rPr>
        <w:t xml:space="preserve">, </w:t>
      </w:r>
      <w:r w:rsidR="002E37A9" w:rsidRPr="002E37A9">
        <w:rPr>
          <w:rFonts w:ascii="Arial" w:hAnsi="Arial" w:cs="Arial"/>
        </w:rPr>
        <w:t>also known as Borough Green Sandpit Wrotham Rd</w:t>
      </w:r>
      <w:r w:rsidR="00827987" w:rsidRPr="002E37A9">
        <w:rPr>
          <w:rFonts w:ascii="Arial" w:hAnsi="Arial" w:cs="Arial"/>
        </w:rPr>
        <w:t>)</w:t>
      </w:r>
      <w:r w:rsidRPr="002E37A9">
        <w:rPr>
          <w:rFonts w:ascii="Arial" w:hAnsi="Arial" w:cs="Arial"/>
        </w:rPr>
        <w:t>,</w:t>
      </w:r>
      <w:r>
        <w:t xml:space="preserve"> </w:t>
      </w:r>
    </w:p>
    <w:p w:rsidR="00581095" w:rsidRDefault="00581095">
      <w:r>
        <w:t>Original permission TM/69/10748 to excavate sand to the north west of Borough Green from Wrotham Road to the Ightham sandpit boundary, bounded to the north by the route of the proposed Borough Green Bypass.</w:t>
      </w:r>
    </w:p>
    <w:p w:rsidR="00581095" w:rsidRDefault="00581095"/>
    <w:p w:rsidR="002A7501" w:rsidRDefault="00581095">
      <w:r>
        <w:t>TM/06/01271 allowed</w:t>
      </w:r>
      <w:r w:rsidR="00914F5F">
        <w:t xml:space="preserve"> a recycling operation to be added to the Hall Aggregates landfill operation subsequently operated by </w:t>
      </w:r>
      <w:proofErr w:type="spellStart"/>
      <w:r w:rsidR="002A7501">
        <w:t>Cemex</w:t>
      </w:r>
      <w:proofErr w:type="spellEnd"/>
      <w:r w:rsidR="002A7501">
        <w:t>, unt</w:t>
      </w:r>
      <w:r w:rsidR="00914F5F">
        <w:t>il taken over by Robert Body Haulage</w:t>
      </w:r>
      <w:r w:rsidR="00827987">
        <w:t>.</w:t>
      </w:r>
      <w:r w:rsidR="00914F5F">
        <w:t xml:space="preserve"> Some sand is still being excavated in the north west corner.</w:t>
      </w:r>
    </w:p>
    <w:p w:rsidR="002A7501" w:rsidRDefault="002A7501"/>
    <w:p w:rsidR="003C06FB" w:rsidRDefault="002A7501">
      <w:r>
        <w:t>It is recorded that a sandpit already existed at the station site</w:t>
      </w:r>
      <w:r w:rsidR="00723A12">
        <w:t xml:space="preserve"> </w:t>
      </w:r>
      <w:r w:rsidR="00914F5F">
        <w:t xml:space="preserve">in the early 1800s, </w:t>
      </w:r>
      <w:r w:rsidR="00723A12">
        <w:t>(See A-Z)</w:t>
      </w:r>
      <w:r>
        <w:t xml:space="preserve">, but  excavation began in earnest here as a result of the building of the Railway Line that opened in 1874, using the material to build the embankments East and West of the village. </w:t>
      </w:r>
    </w:p>
    <w:p w:rsidR="003C06FB" w:rsidRDefault="003C06FB"/>
    <w:p w:rsidR="002A7501" w:rsidRDefault="002A7501">
      <w:r>
        <w:t xml:space="preserve">Sand excavation moved north and east from this point, following the line of the Wrotham Road (A227) behind </w:t>
      </w:r>
      <w:proofErr w:type="spellStart"/>
      <w:r>
        <w:t>Longpond</w:t>
      </w:r>
      <w:proofErr w:type="spellEnd"/>
      <w:r>
        <w:t xml:space="preserve"> cottages, as far as the Pottery Works where Potters Mede is now. </w:t>
      </w:r>
      <w:r w:rsidR="002C6453">
        <w:t>Once they reached that northerly point, excavation moved west following the rear of what  became Fairfield Estate, until they met the Kent White excavati</w:t>
      </w:r>
      <w:r w:rsidR="00005A46">
        <w:t>ons at Ightham Sandpit coming ea</w:t>
      </w:r>
      <w:r w:rsidR="002C6453">
        <w:t>st, the boundary between the two pits becoming MR244. The area immediately west of Wrotham Rd, and the area north of Fairfield (built 1948) were landfilled with London and local domestic waste.</w:t>
      </w:r>
    </w:p>
    <w:p w:rsidR="00914F5F" w:rsidRDefault="00914F5F"/>
    <w:p w:rsidR="002C6453" w:rsidRDefault="002C6453">
      <w:r>
        <w:t>Whilst Robert Body carries out the current landfill operation under strict modern rules, the two areas mention</w:t>
      </w:r>
      <w:r w:rsidR="00723A12">
        <w:t>ed</w:t>
      </w:r>
      <w:r>
        <w:t xml:space="preserve"> (see map) will require special investigation and landfill gas monitoring.</w:t>
      </w:r>
    </w:p>
    <w:p w:rsidR="003C06FB" w:rsidRDefault="003C06FB"/>
    <w:p w:rsidR="003C06FB" w:rsidRDefault="003C06FB">
      <w:r>
        <w:t>Significant landfill still required to attain local levels.</w:t>
      </w:r>
      <w:r w:rsidR="00914F5F">
        <w:t xml:space="preserve"> Under TM/14/02728 the approval is in force until </w:t>
      </w:r>
      <w:r w:rsidR="00914F5F" w:rsidRPr="00914F5F">
        <w:rPr>
          <w:b/>
        </w:rPr>
        <w:t>2042</w:t>
      </w:r>
      <w:r w:rsidR="00914F5F">
        <w:t xml:space="preserve">, but with HGVs restricted to </w:t>
      </w:r>
      <w:r w:rsidR="00914F5F" w:rsidRPr="00914F5F">
        <w:rPr>
          <w:b/>
        </w:rPr>
        <w:t>182 per da</w:t>
      </w:r>
      <w:r w:rsidR="00914F5F">
        <w:t>y, 92 in and 91 out.</w:t>
      </w:r>
    </w:p>
    <w:p w:rsidR="00914F5F" w:rsidRDefault="00914F5F"/>
    <w:p w:rsidR="00914F5F" w:rsidRDefault="00914F5F">
      <w:r>
        <w:t>Evidence</w:t>
      </w:r>
    </w:p>
    <w:p w:rsidR="002E37A9" w:rsidRDefault="002E37A9">
      <w:r>
        <w:t>TM/69/10748   Decision (below)</w:t>
      </w:r>
    </w:p>
    <w:p w:rsidR="00914F5F" w:rsidRDefault="00914F5F">
      <w:r>
        <w:t>TM/06/01271   Decision</w:t>
      </w:r>
    </w:p>
    <w:p w:rsidR="00914F5F" w:rsidRDefault="00914F5F">
      <w:r>
        <w:t>TM/14/ 02728  Decision</w:t>
      </w:r>
    </w:p>
    <w:p w:rsidR="00373559" w:rsidRDefault="00373559"/>
    <w:p w:rsidR="00373559" w:rsidRPr="00373559" w:rsidRDefault="00373559">
      <w:pPr>
        <w:rPr>
          <w:i/>
        </w:rPr>
      </w:pPr>
      <w:r w:rsidRPr="00373559">
        <w:rPr>
          <w:i/>
        </w:rPr>
        <w:t xml:space="preserve">Extract 1897 Station Yard </w:t>
      </w:r>
      <w:r w:rsidR="00CC48F4">
        <w:rPr>
          <w:i/>
        </w:rPr>
        <w:t xml:space="preserve">               </w:t>
      </w:r>
      <w:r w:rsidRPr="00373559">
        <w:rPr>
          <w:i/>
        </w:rPr>
        <w:t xml:space="preserve">                             </w:t>
      </w:r>
      <w:r w:rsidR="00005A46">
        <w:rPr>
          <w:i/>
        </w:rPr>
        <w:t xml:space="preserve">      </w:t>
      </w:r>
      <w:r w:rsidR="00CC48F4">
        <w:rPr>
          <w:i/>
        </w:rPr>
        <w:t xml:space="preserve">                           </w:t>
      </w:r>
      <w:r w:rsidRPr="00373559">
        <w:rPr>
          <w:i/>
        </w:rPr>
        <w:t>1961 Extended to Wrotham Road A227</w:t>
      </w:r>
    </w:p>
    <w:p w:rsidR="00373559" w:rsidRDefault="00373559">
      <w:r>
        <w:rPr>
          <w:noProof/>
          <w:lang w:eastAsia="en-GB"/>
        </w:rPr>
        <w:drawing>
          <wp:inline distT="0" distB="0" distL="0" distR="0">
            <wp:extent cx="3286125" cy="2981325"/>
            <wp:effectExtent l="1905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86125" cy="29813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3095625" cy="2979605"/>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95625" cy="2979605"/>
                    </a:xfrm>
                    <a:prstGeom prst="rect">
                      <a:avLst/>
                    </a:prstGeom>
                    <a:noFill/>
                    <a:ln w="9525">
                      <a:noFill/>
                      <a:miter lim="800000"/>
                      <a:headEnd/>
                      <a:tailEnd/>
                    </a:ln>
                  </pic:spPr>
                </pic:pic>
              </a:graphicData>
            </a:graphic>
          </wp:inline>
        </w:drawing>
      </w:r>
    </w:p>
    <w:p w:rsidR="00005A46" w:rsidRDefault="00005A46"/>
    <w:p w:rsidR="00005A46" w:rsidRDefault="00005A46"/>
    <w:p w:rsidR="00005A46" w:rsidRDefault="00005A46"/>
    <w:p w:rsidR="003C06FB" w:rsidRDefault="003C06FB"/>
    <w:p w:rsidR="003C06FB" w:rsidRDefault="003C06FB"/>
    <w:p w:rsidR="003C06FB" w:rsidRDefault="003C06FB"/>
    <w:p w:rsidR="003C06FB" w:rsidRDefault="003C06FB"/>
    <w:p w:rsidR="00005A46" w:rsidRDefault="003C06FB" w:rsidP="00914F5F">
      <w:pPr>
        <w:jc w:val="right"/>
      </w:pPr>
      <w:r>
        <w:lastRenderedPageBreak/>
        <w:t>B</w:t>
      </w:r>
      <w:r w:rsidR="00914F5F">
        <w:t>OROUGH GREEN LANDFILL  JUNE 2018</w:t>
      </w:r>
      <w:r>
        <w:rPr>
          <w:noProof/>
          <w:lang w:eastAsia="en-GB"/>
        </w:rPr>
        <w:drawing>
          <wp:inline distT="0" distB="0" distL="0" distR="0">
            <wp:extent cx="5848350" cy="3888656"/>
            <wp:effectExtent l="19050" t="0" r="0" b="0"/>
            <wp:docPr id="32" name="Picture 31" descr="rb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f.JPG"/>
                    <pic:cNvPicPr/>
                  </pic:nvPicPr>
                  <pic:blipFill>
                    <a:blip r:embed="rId11" cstate="print"/>
                    <a:stretch>
                      <a:fillRect/>
                    </a:stretch>
                  </pic:blipFill>
                  <pic:spPr>
                    <a:xfrm>
                      <a:off x="0" y="0"/>
                      <a:ext cx="5850740" cy="3890245"/>
                    </a:xfrm>
                    <a:prstGeom prst="rect">
                      <a:avLst/>
                    </a:prstGeom>
                  </pic:spPr>
                </pic:pic>
              </a:graphicData>
            </a:graphic>
          </wp:inline>
        </w:drawing>
      </w:r>
    </w:p>
    <w:p w:rsidR="00005A46" w:rsidRDefault="00005A46"/>
    <w:p w:rsidR="00005A46" w:rsidRDefault="00005A46"/>
    <w:p w:rsidR="00005A46" w:rsidRDefault="00914F5F">
      <w:r>
        <w:rPr>
          <w:noProof/>
          <w:lang w:eastAsia="en-GB"/>
        </w:rPr>
        <w:drawing>
          <wp:inline distT="0" distB="0" distL="0" distR="0">
            <wp:extent cx="5262867" cy="4921513"/>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66723" cy="4925119"/>
                    </a:xfrm>
                    <a:prstGeom prst="rect">
                      <a:avLst/>
                    </a:prstGeom>
                    <a:noFill/>
                    <a:ln w="9525">
                      <a:noFill/>
                      <a:miter lim="800000"/>
                      <a:headEnd/>
                      <a:tailEnd/>
                    </a:ln>
                  </pic:spPr>
                </pic:pic>
              </a:graphicData>
            </a:graphic>
          </wp:inline>
        </w:drawing>
      </w:r>
    </w:p>
    <w:p w:rsidR="00005A46" w:rsidRDefault="00005A46"/>
    <w:p w:rsidR="00005A46" w:rsidRDefault="00005A46"/>
    <w:p w:rsidR="002C6453" w:rsidRPr="00827987" w:rsidRDefault="002C6453">
      <w:pPr>
        <w:rPr>
          <w:rFonts w:ascii="Arial Black" w:hAnsi="Arial Black"/>
        </w:rPr>
      </w:pPr>
      <w:r w:rsidRPr="00827987">
        <w:rPr>
          <w:rFonts w:ascii="Arial Black" w:hAnsi="Arial Black"/>
        </w:rPr>
        <w:lastRenderedPageBreak/>
        <w:t>BOROUGH GREEN SANDPIT</w:t>
      </w:r>
    </w:p>
    <w:p w:rsidR="002C6453" w:rsidRPr="002E37A9" w:rsidRDefault="002C6453">
      <w:pPr>
        <w:rPr>
          <w:rFonts w:ascii="Arial" w:hAnsi="Arial" w:cs="Arial"/>
        </w:rPr>
      </w:pPr>
      <w:r w:rsidRPr="00827987">
        <w:rPr>
          <w:rFonts w:ascii="Arial Black" w:hAnsi="Arial Black"/>
        </w:rPr>
        <w:t>(FORMERLY SMITHS SANDPIT</w:t>
      </w:r>
      <w:r w:rsidR="002E37A9">
        <w:rPr>
          <w:rFonts w:ascii="Arial Black" w:hAnsi="Arial Black"/>
        </w:rPr>
        <w:t xml:space="preserve">, </w:t>
      </w:r>
      <w:r w:rsidR="002E37A9" w:rsidRPr="002E37A9">
        <w:rPr>
          <w:rFonts w:ascii="Arial" w:hAnsi="Arial" w:cs="Arial"/>
        </w:rPr>
        <w:t>also known as Borough Green Sandpit, Platt</w:t>
      </w:r>
      <w:r w:rsidRPr="002E37A9">
        <w:rPr>
          <w:rFonts w:ascii="Arial" w:hAnsi="Arial" w:cs="Arial"/>
        </w:rPr>
        <w:t>)</w:t>
      </w:r>
    </w:p>
    <w:p w:rsidR="002E37A9" w:rsidRDefault="002C6453">
      <w:r>
        <w:t xml:space="preserve">This was originally opened up as a series of </w:t>
      </w:r>
      <w:proofErr w:type="spellStart"/>
      <w:r>
        <w:t>claypits</w:t>
      </w:r>
      <w:proofErr w:type="spellEnd"/>
      <w:r>
        <w:t xml:space="preserve"> supplying local potters and brickworks, already in existence on the earliest maps we have from 1870. Platt Industrial  Estate is built on the site of the earliest </w:t>
      </w:r>
      <w:proofErr w:type="spellStart"/>
      <w:r>
        <w:t>claypit</w:t>
      </w:r>
      <w:proofErr w:type="spellEnd"/>
      <w:r>
        <w:t xml:space="preserve"> and brickworks, with further excavations still evident as ponds and pits today, to the north of the Ind</w:t>
      </w:r>
      <w:r w:rsidR="002E37A9">
        <w:t>ustrial Estate. Botany W</w:t>
      </w:r>
      <w:r>
        <w:t>oods still contains foundations of another brickworks. At some point sa</w:t>
      </w:r>
      <w:r w:rsidR="008807CB">
        <w:t xml:space="preserve">nd was discovered under the clay. </w:t>
      </w:r>
    </w:p>
    <w:p w:rsidR="008807CB" w:rsidRDefault="008807CB">
      <w:r>
        <w:t xml:space="preserve">Sand excavations </w:t>
      </w:r>
      <w:r w:rsidR="002E37A9">
        <w:t xml:space="preserve">began </w:t>
      </w:r>
      <w:r>
        <w:t>pre-war and moved west from the Industrial Estate, and south towards the Railway. This site is a little more difficult to establish a history, but it was also landfilled in the past before regulation, and is also likely to suffer from non-inert waste and landfill gas.</w:t>
      </w:r>
    </w:p>
    <w:p w:rsidR="00D304F7" w:rsidRDefault="00D304F7">
      <w:r>
        <w:t>The current operations are carried out under a series of permissions, TM/71/11061. TM/07/</w:t>
      </w:r>
      <w:r w:rsidR="00663595">
        <w:t>00</w:t>
      </w:r>
      <w:r>
        <w:t>512 and TM/09/</w:t>
      </w:r>
      <w:r w:rsidR="00663595">
        <w:t>0</w:t>
      </w:r>
      <w:r>
        <w:t>2028. The sand extraction is now augmented by soil reclamation as part of the landfill operation</w:t>
      </w:r>
      <w:r w:rsidR="00663595">
        <w:t xml:space="preserve">, and the operation extended until 2025. There is an HGV restriction to 60 </w:t>
      </w:r>
      <w:proofErr w:type="spellStart"/>
      <w:r w:rsidR="00663595">
        <w:t>hgv</w:t>
      </w:r>
      <w:proofErr w:type="spellEnd"/>
      <w:r w:rsidR="00663595">
        <w:t>/day, 30 each way.</w:t>
      </w:r>
    </w:p>
    <w:p w:rsidR="00663595" w:rsidRDefault="00663595"/>
    <w:p w:rsidR="00663595" w:rsidRDefault="00663595">
      <w:r>
        <w:t>Evidence:</w:t>
      </w:r>
    </w:p>
    <w:p w:rsidR="00663595" w:rsidRDefault="00663595">
      <w:r>
        <w:t>TM/71/11061</w:t>
      </w:r>
    </w:p>
    <w:p w:rsidR="00663595" w:rsidRDefault="00663595">
      <w:r>
        <w:t>TM/07/00512</w:t>
      </w:r>
    </w:p>
    <w:p w:rsidR="00663595" w:rsidRDefault="00663595">
      <w:r>
        <w:t>TM/09/02028   (there are other interim variation applications)</w:t>
      </w:r>
    </w:p>
    <w:p w:rsidR="00005A46" w:rsidRDefault="00005A46"/>
    <w:p w:rsidR="00005A46" w:rsidRPr="00005A46" w:rsidRDefault="00CC48F4">
      <w:pPr>
        <w:rPr>
          <w:i/>
        </w:rPr>
      </w:pPr>
      <w:r>
        <w:rPr>
          <w:i/>
        </w:rPr>
        <w:t xml:space="preserve">1870 </w:t>
      </w:r>
      <w:r w:rsidR="00005A46" w:rsidRPr="00005A46">
        <w:rPr>
          <w:i/>
        </w:rPr>
        <w:t>existing early pits</w:t>
      </w:r>
    </w:p>
    <w:p w:rsidR="004313CA" w:rsidRDefault="004313CA">
      <w:r>
        <w:rPr>
          <w:noProof/>
          <w:lang w:eastAsia="en-GB"/>
        </w:rPr>
        <w:drawing>
          <wp:inline distT="0" distB="0" distL="0" distR="0">
            <wp:extent cx="3636283" cy="3952875"/>
            <wp:effectExtent l="19050" t="0" r="2267"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636283" cy="3952875"/>
                    </a:xfrm>
                    <a:prstGeom prst="rect">
                      <a:avLst/>
                    </a:prstGeom>
                    <a:noFill/>
                    <a:ln w="9525">
                      <a:noFill/>
                      <a:miter lim="800000"/>
                      <a:headEnd/>
                      <a:tailEnd/>
                    </a:ln>
                  </pic:spPr>
                </pic:pic>
              </a:graphicData>
            </a:graphic>
          </wp:inline>
        </w:drawing>
      </w:r>
    </w:p>
    <w:p w:rsidR="004313CA" w:rsidRDefault="004313CA"/>
    <w:p w:rsidR="004313CA" w:rsidRDefault="004313CA"/>
    <w:p w:rsidR="004313CA" w:rsidRDefault="00723A12">
      <w:r>
        <w:t xml:space="preserve">                                   </w:t>
      </w:r>
      <w:r w:rsidR="00CC48F4">
        <w:t xml:space="preserve">                  </w:t>
      </w:r>
    </w:p>
    <w:p w:rsidR="004313CA" w:rsidRDefault="004313CA">
      <w:r>
        <w:lastRenderedPageBreak/>
        <w:t xml:space="preserve">  </w:t>
      </w:r>
      <w:r>
        <w:rPr>
          <w:noProof/>
          <w:lang w:eastAsia="en-GB"/>
        </w:rPr>
        <w:drawing>
          <wp:inline distT="0" distB="0" distL="0" distR="0">
            <wp:extent cx="2914650" cy="2237122"/>
            <wp:effectExtent l="1905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2919068" cy="2240513"/>
                    </a:xfrm>
                    <a:prstGeom prst="rect">
                      <a:avLst/>
                    </a:prstGeom>
                    <a:noFill/>
                    <a:ln w="9525">
                      <a:noFill/>
                      <a:miter lim="800000"/>
                      <a:headEnd/>
                      <a:tailEnd/>
                    </a:ln>
                  </pic:spPr>
                </pic:pic>
              </a:graphicData>
            </a:graphic>
          </wp:inline>
        </w:drawing>
      </w:r>
      <w:r w:rsidR="00723A12">
        <w:t xml:space="preserve">   </w:t>
      </w:r>
      <w:r w:rsidR="00723A12" w:rsidRPr="00723A12">
        <w:rPr>
          <w:noProof/>
          <w:lang w:eastAsia="en-GB"/>
        </w:rPr>
        <w:drawing>
          <wp:inline distT="0" distB="0" distL="0" distR="0">
            <wp:extent cx="3253875" cy="2276475"/>
            <wp:effectExtent l="19050" t="0" r="3675"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255644" cy="2277713"/>
                    </a:xfrm>
                    <a:prstGeom prst="rect">
                      <a:avLst/>
                    </a:prstGeom>
                    <a:noFill/>
                    <a:ln w="9525">
                      <a:noFill/>
                      <a:miter lim="800000"/>
                      <a:headEnd/>
                      <a:tailEnd/>
                    </a:ln>
                  </pic:spPr>
                </pic:pic>
              </a:graphicData>
            </a:graphic>
          </wp:inline>
        </w:drawing>
      </w:r>
    </w:p>
    <w:p w:rsidR="00723A12" w:rsidRDefault="00723A12"/>
    <w:p w:rsidR="00723A12" w:rsidRDefault="00723A12"/>
    <w:p w:rsidR="00723A12" w:rsidRDefault="00723A12"/>
    <w:p w:rsidR="00723A12" w:rsidRDefault="00723A12"/>
    <w:p w:rsidR="008807CB" w:rsidRDefault="008807CB"/>
    <w:p w:rsidR="003C06FB" w:rsidRPr="003C06FB" w:rsidRDefault="003C06FB" w:rsidP="003C06FB">
      <w:pPr>
        <w:jc w:val="right"/>
        <w:rPr>
          <w:rFonts w:ascii="Arial" w:hAnsi="Arial" w:cs="Arial"/>
        </w:rPr>
      </w:pPr>
      <w:r w:rsidRPr="003C06FB">
        <w:rPr>
          <w:rFonts w:ascii="Arial" w:hAnsi="Arial" w:cs="Arial"/>
        </w:rPr>
        <w:t xml:space="preserve">BOROUGH GREEN SANDPIT North Platt </w:t>
      </w:r>
      <w:proofErr w:type="spellStart"/>
      <w:r w:rsidRPr="003C06FB">
        <w:rPr>
          <w:rFonts w:ascii="Arial" w:hAnsi="Arial" w:cs="Arial"/>
        </w:rPr>
        <w:t>Ind</w:t>
      </w:r>
      <w:proofErr w:type="spellEnd"/>
      <w:r w:rsidRPr="003C06FB">
        <w:rPr>
          <w:rFonts w:ascii="Arial" w:hAnsi="Arial" w:cs="Arial"/>
        </w:rPr>
        <w:t xml:space="preserve"> </w:t>
      </w:r>
      <w:proofErr w:type="spellStart"/>
      <w:r w:rsidRPr="003C06FB">
        <w:rPr>
          <w:rFonts w:ascii="Arial" w:hAnsi="Arial" w:cs="Arial"/>
        </w:rPr>
        <w:t>Est</w:t>
      </w:r>
      <w:proofErr w:type="spellEnd"/>
      <w:r w:rsidRPr="003C06FB">
        <w:rPr>
          <w:rFonts w:ascii="Arial" w:hAnsi="Arial" w:cs="Arial"/>
        </w:rPr>
        <w:t xml:space="preserve"> June 2018</w:t>
      </w:r>
    </w:p>
    <w:p w:rsidR="003C06FB" w:rsidRDefault="003C06FB">
      <w:pPr>
        <w:rPr>
          <w:rFonts w:ascii="Arial Black" w:hAnsi="Arial Black"/>
        </w:rPr>
      </w:pPr>
      <w:r>
        <w:rPr>
          <w:rFonts w:ascii="Arial Black" w:hAnsi="Arial Black"/>
          <w:noProof/>
          <w:lang w:eastAsia="en-GB"/>
        </w:rPr>
        <w:drawing>
          <wp:inline distT="0" distB="0" distL="0" distR="0">
            <wp:extent cx="6645910" cy="4418965"/>
            <wp:effectExtent l="19050" t="0" r="2540" b="0"/>
            <wp:docPr id="37" name="Picture 36" descr="bg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p.JPG"/>
                    <pic:cNvPicPr/>
                  </pic:nvPicPr>
                  <pic:blipFill>
                    <a:blip r:embed="rId16" cstate="print"/>
                    <a:stretch>
                      <a:fillRect/>
                    </a:stretch>
                  </pic:blipFill>
                  <pic:spPr>
                    <a:xfrm>
                      <a:off x="0" y="0"/>
                      <a:ext cx="6645910" cy="4418965"/>
                    </a:xfrm>
                    <a:prstGeom prst="rect">
                      <a:avLst/>
                    </a:prstGeom>
                  </pic:spPr>
                </pic:pic>
              </a:graphicData>
            </a:graphic>
          </wp:inline>
        </w:drawing>
      </w:r>
    </w:p>
    <w:p w:rsidR="002E37A9" w:rsidRDefault="002E37A9">
      <w:pPr>
        <w:rPr>
          <w:rFonts w:ascii="Arial Black" w:hAnsi="Arial Black"/>
        </w:rPr>
      </w:pPr>
    </w:p>
    <w:p w:rsidR="002E37A9" w:rsidRDefault="002E37A9">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F167FE">
      <w:pPr>
        <w:rPr>
          <w:rFonts w:ascii="Arial Black" w:hAnsi="Arial Black"/>
        </w:rPr>
      </w:pPr>
    </w:p>
    <w:p w:rsidR="00F167FE" w:rsidRDefault="00CA088E">
      <w:pPr>
        <w:rPr>
          <w:rFonts w:ascii="Arial Black" w:hAnsi="Arial Black"/>
        </w:rPr>
      </w:pPr>
      <w:r>
        <w:rPr>
          <w:rFonts w:ascii="Arial Black" w:hAnsi="Arial Black"/>
        </w:rPr>
        <w:lastRenderedPageBreak/>
        <w:t>Borough Green Sandpit Landslip</w:t>
      </w:r>
      <w:r w:rsidR="00F167FE">
        <w:rPr>
          <w:rFonts w:ascii="Arial Black" w:hAnsi="Arial Black"/>
        </w:rPr>
        <w:t xml:space="preserve"> - PROW - 23 Sept 2018</w:t>
      </w:r>
    </w:p>
    <w:p w:rsidR="00F167FE" w:rsidRDefault="00CA088E">
      <w:pPr>
        <w:rPr>
          <w:rFonts w:ascii="Arial Black" w:hAnsi="Arial Black"/>
        </w:rPr>
      </w:pPr>
      <w:r>
        <w:rPr>
          <w:rFonts w:ascii="Arial Black" w:hAnsi="Arial Black"/>
        </w:rPr>
        <w:t xml:space="preserve"> </w:t>
      </w:r>
      <w:r w:rsidR="00F167FE">
        <w:rPr>
          <w:rFonts w:ascii="Arial Black" w:hAnsi="Arial Black"/>
          <w:noProof/>
          <w:lang w:eastAsia="en-GB"/>
        </w:rPr>
        <w:drawing>
          <wp:inline distT="0" distB="0" distL="0" distR="0">
            <wp:extent cx="2040467" cy="2709333"/>
            <wp:effectExtent l="19050" t="0" r="0" b="0"/>
            <wp:docPr id="8" name="Picture 7" descr="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1.jpg"/>
                    <pic:cNvPicPr/>
                  </pic:nvPicPr>
                  <pic:blipFill>
                    <a:blip r:embed="rId17" cstate="print"/>
                    <a:stretch>
                      <a:fillRect/>
                    </a:stretch>
                  </pic:blipFill>
                  <pic:spPr>
                    <a:xfrm>
                      <a:off x="0" y="0"/>
                      <a:ext cx="2040467" cy="2709333"/>
                    </a:xfrm>
                    <a:prstGeom prst="rect">
                      <a:avLst/>
                    </a:prstGeom>
                  </pic:spPr>
                </pic:pic>
              </a:graphicData>
            </a:graphic>
          </wp:inline>
        </w:drawing>
      </w:r>
      <w:r>
        <w:rPr>
          <w:rFonts w:ascii="Arial Black" w:hAnsi="Arial Black"/>
        </w:rPr>
        <w:t xml:space="preserve">    </w:t>
      </w:r>
      <w:r w:rsidR="00F167FE">
        <w:rPr>
          <w:rFonts w:ascii="Arial Black" w:hAnsi="Arial Black"/>
          <w:noProof/>
          <w:lang w:eastAsia="en-GB"/>
        </w:rPr>
        <w:drawing>
          <wp:inline distT="0" distB="0" distL="0" distR="0">
            <wp:extent cx="2057400" cy="2709333"/>
            <wp:effectExtent l="19050" t="0" r="0" b="0"/>
            <wp:docPr id="10" name="Picture 9" descr="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a:blip r:embed="rId18" cstate="print"/>
                    <a:stretch>
                      <a:fillRect/>
                    </a:stretch>
                  </pic:blipFill>
                  <pic:spPr>
                    <a:xfrm>
                      <a:off x="0" y="0"/>
                      <a:ext cx="2057400" cy="2709333"/>
                    </a:xfrm>
                    <a:prstGeom prst="rect">
                      <a:avLst/>
                    </a:prstGeom>
                  </pic:spPr>
                </pic:pic>
              </a:graphicData>
            </a:graphic>
          </wp:inline>
        </w:drawing>
      </w:r>
      <w:r>
        <w:rPr>
          <w:rFonts w:ascii="Arial Black" w:hAnsi="Arial Black"/>
        </w:rPr>
        <w:t xml:space="preserve">   </w:t>
      </w:r>
      <w:r w:rsidR="00F167FE">
        <w:rPr>
          <w:rFonts w:ascii="Arial Black" w:hAnsi="Arial Black"/>
        </w:rPr>
        <w:t xml:space="preserve">  </w:t>
      </w:r>
      <w:r w:rsidR="00F167FE">
        <w:rPr>
          <w:rFonts w:ascii="Arial Black" w:hAnsi="Arial Black"/>
          <w:noProof/>
          <w:lang w:eastAsia="en-GB"/>
        </w:rPr>
        <w:drawing>
          <wp:inline distT="0" distB="0" distL="0" distR="0">
            <wp:extent cx="2023533" cy="2709333"/>
            <wp:effectExtent l="19050" t="0" r="0" b="0"/>
            <wp:docPr id="11" name="Picture 10" descr="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4.jpg"/>
                    <pic:cNvPicPr/>
                  </pic:nvPicPr>
                  <pic:blipFill>
                    <a:blip r:embed="rId19" cstate="print"/>
                    <a:stretch>
                      <a:fillRect/>
                    </a:stretch>
                  </pic:blipFill>
                  <pic:spPr>
                    <a:xfrm>
                      <a:off x="0" y="0"/>
                      <a:ext cx="2023533" cy="2709333"/>
                    </a:xfrm>
                    <a:prstGeom prst="rect">
                      <a:avLst/>
                    </a:prstGeom>
                  </pic:spPr>
                </pic:pic>
              </a:graphicData>
            </a:graphic>
          </wp:inline>
        </w:drawing>
      </w:r>
    </w:p>
    <w:p w:rsidR="00F167FE" w:rsidRDefault="00F167FE">
      <w:pPr>
        <w:rPr>
          <w:rFonts w:ascii="Arial Black" w:hAnsi="Arial Black"/>
        </w:rPr>
      </w:pPr>
    </w:p>
    <w:p w:rsidR="003C06FB" w:rsidRDefault="00CA088E">
      <w:pPr>
        <w:rPr>
          <w:rFonts w:ascii="Arial Black" w:hAnsi="Arial Black"/>
        </w:rPr>
      </w:pPr>
      <w:r>
        <w:rPr>
          <w:rFonts w:ascii="Arial Black" w:hAnsi="Arial Black"/>
          <w:noProof/>
          <w:lang w:eastAsia="en-GB"/>
        </w:rPr>
        <w:drawing>
          <wp:inline distT="0" distB="0" distL="0" distR="0">
            <wp:extent cx="6645910" cy="4984750"/>
            <wp:effectExtent l="19050" t="0" r="2540" b="0"/>
            <wp:docPr id="16" name="Picture 15" des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20" cstate="print"/>
                    <a:stretch>
                      <a:fillRect/>
                    </a:stretch>
                  </pic:blipFill>
                  <pic:spPr>
                    <a:xfrm>
                      <a:off x="0" y="0"/>
                      <a:ext cx="6645910" cy="4984750"/>
                    </a:xfrm>
                    <a:prstGeom prst="rect">
                      <a:avLst/>
                    </a:prstGeom>
                  </pic:spPr>
                </pic:pic>
              </a:graphicData>
            </a:graphic>
          </wp:inline>
        </w:drawing>
      </w:r>
    </w:p>
    <w:p w:rsidR="00663595" w:rsidRDefault="00CA088E">
      <w:pPr>
        <w:rPr>
          <w:rFonts w:ascii="Arial Black" w:hAnsi="Arial Black"/>
        </w:rPr>
      </w:pPr>
      <w:r>
        <w:rPr>
          <w:rFonts w:ascii="Arial Black" w:hAnsi="Arial Black"/>
          <w:noProof/>
          <w:lang w:eastAsia="en-GB"/>
        </w:rPr>
        <w:lastRenderedPageBreak/>
        <w:drawing>
          <wp:inline distT="0" distB="0" distL="0" distR="0">
            <wp:extent cx="6276975" cy="4708032"/>
            <wp:effectExtent l="19050" t="0" r="9525" b="0"/>
            <wp:docPr id="17" name="Picture 16" des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20" cstate="print"/>
                    <a:stretch>
                      <a:fillRect/>
                    </a:stretch>
                  </pic:blipFill>
                  <pic:spPr>
                    <a:xfrm>
                      <a:off x="0" y="0"/>
                      <a:ext cx="6281375" cy="4711332"/>
                    </a:xfrm>
                    <a:prstGeom prst="rect">
                      <a:avLst/>
                    </a:prstGeom>
                  </pic:spPr>
                </pic:pic>
              </a:graphicData>
            </a:graphic>
          </wp:inline>
        </w:drawing>
      </w:r>
    </w:p>
    <w:p w:rsidR="00663595" w:rsidRDefault="00663595">
      <w:pPr>
        <w:rPr>
          <w:rFonts w:ascii="Arial Black" w:hAnsi="Arial Black"/>
        </w:rPr>
      </w:pPr>
    </w:p>
    <w:p w:rsidR="00663595" w:rsidRDefault="00CA088E">
      <w:pPr>
        <w:rPr>
          <w:rFonts w:ascii="Arial Black" w:hAnsi="Arial Black"/>
        </w:rPr>
      </w:pPr>
      <w:r>
        <w:rPr>
          <w:rFonts w:ascii="Arial Black" w:hAnsi="Arial Black"/>
          <w:noProof/>
          <w:lang w:eastAsia="en-GB"/>
        </w:rPr>
        <w:drawing>
          <wp:inline distT="0" distB="0" distL="0" distR="0">
            <wp:extent cx="6273400" cy="4705350"/>
            <wp:effectExtent l="19050" t="0" r="0" b="0"/>
            <wp:docPr id="18" name="Picture 17" desc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21" cstate="print"/>
                    <a:stretch>
                      <a:fillRect/>
                    </a:stretch>
                  </pic:blipFill>
                  <pic:spPr>
                    <a:xfrm>
                      <a:off x="0" y="0"/>
                      <a:ext cx="6277398" cy="4708349"/>
                    </a:xfrm>
                    <a:prstGeom prst="rect">
                      <a:avLst/>
                    </a:prstGeom>
                  </pic:spPr>
                </pic:pic>
              </a:graphicData>
            </a:graphic>
          </wp:inline>
        </w:drawing>
      </w:r>
    </w:p>
    <w:p w:rsidR="008807CB" w:rsidRPr="00827987" w:rsidRDefault="008807CB">
      <w:pPr>
        <w:rPr>
          <w:rFonts w:ascii="Arial Black" w:hAnsi="Arial Black"/>
        </w:rPr>
      </w:pPr>
      <w:r w:rsidRPr="00827987">
        <w:rPr>
          <w:rFonts w:ascii="Arial Black" w:hAnsi="Arial Black"/>
        </w:rPr>
        <w:lastRenderedPageBreak/>
        <w:t>PARK FARM CLAYPIT</w:t>
      </w:r>
    </w:p>
    <w:p w:rsidR="008807CB" w:rsidRPr="00827987" w:rsidRDefault="008807CB">
      <w:pPr>
        <w:rPr>
          <w:rFonts w:ascii="Arial Black" w:hAnsi="Arial Black"/>
        </w:rPr>
      </w:pPr>
      <w:r w:rsidRPr="00827987">
        <w:rPr>
          <w:rFonts w:ascii="Arial Black" w:hAnsi="Arial Black"/>
        </w:rPr>
        <w:t>(OPERATED BY RUGBY CEMENT TO SUPPLY HOLBOROUGH CEMENT WORKS)</w:t>
      </w:r>
    </w:p>
    <w:p w:rsidR="003F65EA" w:rsidRPr="003F65EA" w:rsidRDefault="008807CB" w:rsidP="003F65EA">
      <w:pPr>
        <w:autoSpaceDE w:val="0"/>
        <w:autoSpaceDN w:val="0"/>
        <w:adjustRightInd w:val="0"/>
        <w:rPr>
          <w:rFonts w:cstheme="minorHAnsi"/>
          <w:iCs/>
          <w:color w:val="222222"/>
          <w:lang w:eastAsia="en-GB"/>
        </w:rPr>
      </w:pPr>
      <w:r>
        <w:t>This pit, north of Borough Green and Nepicar Sandpits</w:t>
      </w:r>
      <w:r w:rsidR="00663595">
        <w:t>,</w:t>
      </w:r>
      <w:r>
        <w:t xml:space="preserve"> has been disused for some years, but unrestored. There is planning permission for a landfill access haul road through Nepicar Sandpit</w:t>
      </w:r>
      <w:r w:rsidR="00890377">
        <w:t>, but the existing access is via Platt Industrial Estate</w:t>
      </w:r>
      <w:r>
        <w:t>.</w:t>
      </w:r>
      <w:r w:rsidR="003F65EA">
        <w:t xml:space="preserve"> The site has an approval under TM/ </w:t>
      </w:r>
      <w:r w:rsidR="003F65EA" w:rsidRPr="003F65EA">
        <w:rPr>
          <w:rFonts w:cstheme="minorHAnsi"/>
          <w:iCs/>
          <w:color w:val="222222"/>
          <w:lang w:eastAsia="en-GB"/>
        </w:rPr>
        <w:t>54/10547 (1947) for the extraction of clay and sand (</w:t>
      </w:r>
      <w:proofErr w:type="spellStart"/>
      <w:r w:rsidR="003F65EA" w:rsidRPr="003F65EA">
        <w:rPr>
          <w:rFonts w:cstheme="minorHAnsi"/>
          <w:iCs/>
          <w:color w:val="222222"/>
          <w:lang w:eastAsia="en-GB"/>
        </w:rPr>
        <w:t>Pascalls</w:t>
      </w:r>
      <w:proofErr w:type="spellEnd"/>
      <w:r w:rsidR="003F65EA" w:rsidRPr="003F65EA">
        <w:rPr>
          <w:rFonts w:cstheme="minorHAnsi"/>
          <w:iCs/>
          <w:color w:val="222222"/>
          <w:lang w:eastAsia="en-GB"/>
        </w:rPr>
        <w:t xml:space="preserve"> Brickyard)</w:t>
      </w:r>
      <w:r w:rsidR="003F65EA">
        <w:rPr>
          <w:rFonts w:cstheme="minorHAnsi"/>
          <w:iCs/>
          <w:color w:val="222222"/>
          <w:lang w:eastAsia="en-GB"/>
        </w:rPr>
        <w:t>.TM/</w:t>
      </w:r>
      <w:r w:rsidR="003F65EA" w:rsidRPr="003F65EA">
        <w:rPr>
          <w:rFonts w:cstheme="minorHAnsi"/>
          <w:iCs/>
          <w:color w:val="222222"/>
          <w:lang w:eastAsia="en-GB"/>
        </w:rPr>
        <w:t>76/10955</w:t>
      </w:r>
      <w:r w:rsidR="003F65EA">
        <w:rPr>
          <w:rFonts w:cstheme="minorHAnsi"/>
          <w:iCs/>
          <w:color w:val="222222"/>
          <w:lang w:eastAsia="en-GB"/>
        </w:rPr>
        <w:t>,</w:t>
      </w:r>
      <w:r w:rsidR="003F65EA" w:rsidRPr="003F65EA">
        <w:rPr>
          <w:rFonts w:cstheme="minorHAnsi"/>
          <w:iCs/>
          <w:color w:val="222222"/>
          <w:lang w:eastAsia="en-GB"/>
        </w:rPr>
        <w:t xml:space="preserve"> </w:t>
      </w:r>
      <w:r w:rsidR="003F65EA">
        <w:rPr>
          <w:rFonts w:cstheme="minorHAnsi"/>
          <w:iCs/>
          <w:color w:val="222222"/>
          <w:lang w:eastAsia="en-GB"/>
        </w:rPr>
        <w:t>TM/</w:t>
      </w:r>
      <w:r w:rsidR="003F65EA" w:rsidRPr="003F65EA">
        <w:rPr>
          <w:rFonts w:cstheme="minorHAnsi"/>
          <w:iCs/>
          <w:color w:val="222222"/>
          <w:lang w:eastAsia="en-GB"/>
        </w:rPr>
        <w:t>91/51708</w:t>
      </w:r>
      <w:r w:rsidR="003F65EA">
        <w:rPr>
          <w:rFonts w:cstheme="minorHAnsi"/>
          <w:iCs/>
          <w:color w:val="222222"/>
          <w:lang w:eastAsia="en-GB"/>
        </w:rPr>
        <w:t xml:space="preserve"> and TM/</w:t>
      </w:r>
      <w:r w:rsidR="003F65EA" w:rsidRPr="003F65EA">
        <w:rPr>
          <w:rFonts w:cstheme="minorHAnsi"/>
          <w:iCs/>
          <w:color w:val="222222"/>
          <w:lang w:eastAsia="en-GB"/>
        </w:rPr>
        <w:t xml:space="preserve">02/02663 </w:t>
      </w:r>
      <w:r w:rsidR="003F65EA">
        <w:rPr>
          <w:rFonts w:cstheme="minorHAnsi"/>
          <w:iCs/>
          <w:color w:val="222222"/>
          <w:lang w:eastAsia="en-GB"/>
        </w:rPr>
        <w:t xml:space="preserve">allowed clay extraction for the Rugby Cement Works at </w:t>
      </w:r>
      <w:proofErr w:type="spellStart"/>
      <w:r w:rsidR="003F65EA">
        <w:rPr>
          <w:rFonts w:cstheme="minorHAnsi"/>
          <w:iCs/>
          <w:color w:val="222222"/>
          <w:lang w:eastAsia="en-GB"/>
        </w:rPr>
        <w:t>Halling</w:t>
      </w:r>
      <w:proofErr w:type="spellEnd"/>
      <w:r w:rsidR="003F65EA">
        <w:rPr>
          <w:rFonts w:cstheme="minorHAnsi"/>
          <w:iCs/>
          <w:color w:val="222222"/>
          <w:lang w:eastAsia="en-GB"/>
        </w:rPr>
        <w:t xml:space="preserve">, and extend </w:t>
      </w:r>
      <w:r w:rsidR="003F65EA" w:rsidRPr="003F65EA">
        <w:rPr>
          <w:rFonts w:cstheme="minorHAnsi"/>
          <w:iCs/>
          <w:color w:val="222222"/>
          <w:lang w:eastAsia="en-GB"/>
        </w:rPr>
        <w:t xml:space="preserve">clay and sand </w:t>
      </w:r>
      <w:r w:rsidR="003F65EA">
        <w:rPr>
          <w:rFonts w:cstheme="minorHAnsi"/>
          <w:iCs/>
          <w:color w:val="222222"/>
          <w:lang w:eastAsia="en-GB"/>
        </w:rPr>
        <w:t xml:space="preserve">extraction </w:t>
      </w:r>
      <w:r w:rsidR="003F65EA" w:rsidRPr="003F65EA">
        <w:rPr>
          <w:rFonts w:cstheme="minorHAnsi"/>
          <w:iCs/>
          <w:color w:val="222222"/>
          <w:lang w:eastAsia="en-GB"/>
        </w:rPr>
        <w:t>until 2040 restoration by 2042</w:t>
      </w:r>
      <w:r w:rsidR="003F65EA">
        <w:rPr>
          <w:rFonts w:cstheme="minorHAnsi"/>
          <w:iCs/>
          <w:color w:val="222222"/>
          <w:lang w:eastAsia="en-GB"/>
        </w:rPr>
        <w:t>. There is also a permission for a new access road through Nepicar Sandpit</w:t>
      </w:r>
    </w:p>
    <w:p w:rsidR="008807CB" w:rsidRDefault="003F65EA">
      <w:r w:rsidRPr="003F65EA">
        <w:rPr>
          <w:noProof/>
          <w:lang w:eastAsia="en-GB"/>
        </w:rPr>
        <w:drawing>
          <wp:inline distT="0" distB="0" distL="0" distR="0">
            <wp:extent cx="5731510" cy="1101551"/>
            <wp:effectExtent l="19050" t="0" r="254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1510" cy="1101551"/>
                    </a:xfrm>
                    <a:prstGeom prst="rect">
                      <a:avLst/>
                    </a:prstGeom>
                    <a:noFill/>
                    <a:ln w="9525">
                      <a:noFill/>
                      <a:miter lim="800000"/>
                      <a:headEnd/>
                      <a:tailEnd/>
                    </a:ln>
                  </pic:spPr>
                </pic:pic>
              </a:graphicData>
            </a:graphic>
          </wp:inline>
        </w:drawing>
      </w:r>
    </w:p>
    <w:p w:rsidR="004313CA" w:rsidRPr="00352AB4" w:rsidRDefault="00352AB4">
      <w:pPr>
        <w:rPr>
          <w:i/>
        </w:rPr>
      </w:pPr>
      <w:r>
        <w:t xml:space="preserve">                                                                                          </w:t>
      </w:r>
      <w:r w:rsidR="00663595">
        <w:t xml:space="preserve">                              </w:t>
      </w:r>
    </w:p>
    <w:p w:rsidR="008807CB" w:rsidRDefault="003F65EA">
      <w:r>
        <w:t xml:space="preserve">Evidence :  Decisions TM/ </w:t>
      </w:r>
      <w:r>
        <w:rPr>
          <w:rFonts w:cstheme="minorHAnsi"/>
          <w:iCs/>
          <w:color w:val="222222"/>
          <w:lang w:eastAsia="en-GB"/>
        </w:rPr>
        <w:t>54/10547</w:t>
      </w:r>
      <w:r w:rsidRPr="003F65EA">
        <w:rPr>
          <w:rFonts w:cstheme="minorHAnsi"/>
          <w:iCs/>
          <w:color w:val="222222"/>
          <w:lang w:eastAsia="en-GB"/>
        </w:rPr>
        <w:t>(1947)</w:t>
      </w:r>
      <w:r>
        <w:rPr>
          <w:rFonts w:cstheme="minorHAnsi"/>
          <w:iCs/>
          <w:color w:val="222222"/>
          <w:lang w:eastAsia="en-GB"/>
        </w:rPr>
        <w:t>, TM/</w:t>
      </w:r>
      <w:r w:rsidRPr="003F65EA">
        <w:rPr>
          <w:rFonts w:cstheme="minorHAnsi"/>
          <w:iCs/>
          <w:color w:val="222222"/>
          <w:lang w:eastAsia="en-GB"/>
        </w:rPr>
        <w:t>76/10955</w:t>
      </w:r>
      <w:r>
        <w:rPr>
          <w:rFonts w:cstheme="minorHAnsi"/>
          <w:iCs/>
          <w:color w:val="222222"/>
          <w:lang w:eastAsia="en-GB"/>
        </w:rPr>
        <w:t>,</w:t>
      </w:r>
      <w:r w:rsidRPr="003F65EA">
        <w:rPr>
          <w:rFonts w:cstheme="minorHAnsi"/>
          <w:iCs/>
          <w:color w:val="222222"/>
          <w:lang w:eastAsia="en-GB"/>
        </w:rPr>
        <w:t xml:space="preserve"> </w:t>
      </w:r>
      <w:r>
        <w:rPr>
          <w:rFonts w:cstheme="minorHAnsi"/>
          <w:iCs/>
          <w:color w:val="222222"/>
          <w:lang w:eastAsia="en-GB"/>
        </w:rPr>
        <w:t>TM/</w:t>
      </w:r>
      <w:r w:rsidRPr="003F65EA">
        <w:rPr>
          <w:rFonts w:cstheme="minorHAnsi"/>
          <w:iCs/>
          <w:color w:val="222222"/>
          <w:lang w:eastAsia="en-GB"/>
        </w:rPr>
        <w:t>91/51708</w:t>
      </w:r>
      <w:r>
        <w:rPr>
          <w:rFonts w:cstheme="minorHAnsi"/>
          <w:iCs/>
          <w:color w:val="222222"/>
          <w:lang w:eastAsia="en-GB"/>
        </w:rPr>
        <w:t xml:space="preserve"> and TM/</w:t>
      </w:r>
      <w:r w:rsidRPr="003F65EA">
        <w:rPr>
          <w:rFonts w:cstheme="minorHAnsi"/>
          <w:iCs/>
          <w:color w:val="222222"/>
          <w:lang w:eastAsia="en-GB"/>
        </w:rPr>
        <w:t>02/02663</w:t>
      </w:r>
    </w:p>
    <w:p w:rsidR="00723A12" w:rsidRPr="003F65EA" w:rsidRDefault="00723A12">
      <w:pPr>
        <w:rPr>
          <w:i/>
        </w:rPr>
      </w:pPr>
      <w:r>
        <w:t xml:space="preserve">                                                                                                                            </w:t>
      </w:r>
      <w:r w:rsidR="00890377">
        <w:t xml:space="preserve">              </w:t>
      </w:r>
      <w:r w:rsidR="00890377" w:rsidRPr="003F65EA">
        <w:rPr>
          <w:i/>
        </w:rPr>
        <w:t xml:space="preserve">Park Farm Quarry Claypit June </w:t>
      </w:r>
      <w:r w:rsidRPr="003F65EA">
        <w:rPr>
          <w:i/>
        </w:rPr>
        <w:t xml:space="preserve">   2018</w:t>
      </w:r>
    </w:p>
    <w:p w:rsidR="00723A12" w:rsidRDefault="00723A12">
      <w:r>
        <w:rPr>
          <w:noProof/>
          <w:lang w:eastAsia="en-GB"/>
        </w:rPr>
        <w:drawing>
          <wp:inline distT="0" distB="0" distL="0" distR="0">
            <wp:extent cx="4638675" cy="3084324"/>
            <wp:effectExtent l="19050" t="0" r="9525" b="0"/>
            <wp:docPr id="4" name="Picture 3" desc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JPG"/>
                    <pic:cNvPicPr/>
                  </pic:nvPicPr>
                  <pic:blipFill>
                    <a:blip r:embed="rId23" cstate="print"/>
                    <a:stretch>
                      <a:fillRect/>
                    </a:stretch>
                  </pic:blipFill>
                  <pic:spPr>
                    <a:xfrm>
                      <a:off x="0" y="0"/>
                      <a:ext cx="4644172" cy="3087979"/>
                    </a:xfrm>
                    <a:prstGeom prst="rect">
                      <a:avLst/>
                    </a:prstGeom>
                  </pic:spPr>
                </pic:pic>
              </a:graphicData>
            </a:graphic>
          </wp:inline>
        </w:drawing>
      </w:r>
    </w:p>
    <w:p w:rsidR="00723A12" w:rsidRPr="003F65EA" w:rsidRDefault="00890377" w:rsidP="00890377">
      <w:pPr>
        <w:jc w:val="right"/>
        <w:rPr>
          <w:i/>
        </w:rPr>
      </w:pPr>
      <w:r w:rsidRPr="003F65EA">
        <w:rPr>
          <w:i/>
        </w:rPr>
        <w:t>Site Boundary Plan TM/08/02869</w:t>
      </w:r>
      <w:r w:rsidR="00DE3A03">
        <w:rPr>
          <w:i/>
        </w:rPr>
        <w:t xml:space="preserve"> -T</w:t>
      </w:r>
      <w:r w:rsidR="003F65EA">
        <w:rPr>
          <w:i/>
        </w:rPr>
        <w:t>he south western boundary e</w:t>
      </w:r>
      <w:r w:rsidR="00DE3A03">
        <w:rPr>
          <w:i/>
        </w:rPr>
        <w:t xml:space="preserve">xtends </w:t>
      </w:r>
      <w:r w:rsidR="003F65EA">
        <w:rPr>
          <w:i/>
        </w:rPr>
        <w:t>across the top of Borough Green Sandpit</w:t>
      </w:r>
    </w:p>
    <w:p w:rsidR="00663595" w:rsidRDefault="00890377">
      <w:pPr>
        <w:rPr>
          <w:rFonts w:ascii="Arial Black" w:hAnsi="Arial Black"/>
        </w:rPr>
      </w:pPr>
      <w:r>
        <w:rPr>
          <w:rFonts w:ascii="Arial Black" w:hAnsi="Arial Black"/>
          <w:noProof/>
          <w:lang w:eastAsia="en-GB"/>
        </w:rPr>
        <w:drawing>
          <wp:inline distT="0" distB="0" distL="0" distR="0">
            <wp:extent cx="4105275" cy="3109950"/>
            <wp:effectExtent l="1905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106728" cy="3111051"/>
                    </a:xfrm>
                    <a:prstGeom prst="rect">
                      <a:avLst/>
                    </a:prstGeom>
                    <a:noFill/>
                    <a:ln w="9525">
                      <a:noFill/>
                      <a:miter lim="800000"/>
                      <a:headEnd/>
                      <a:tailEnd/>
                    </a:ln>
                  </pic:spPr>
                </pic:pic>
              </a:graphicData>
            </a:graphic>
          </wp:inline>
        </w:drawing>
      </w:r>
    </w:p>
    <w:p w:rsidR="00663595" w:rsidRDefault="00663595">
      <w:pPr>
        <w:rPr>
          <w:rFonts w:ascii="Arial Black" w:hAnsi="Arial Black"/>
        </w:rPr>
      </w:pPr>
    </w:p>
    <w:p w:rsidR="002C6453" w:rsidRPr="00827987" w:rsidRDefault="008807CB">
      <w:pPr>
        <w:rPr>
          <w:rFonts w:ascii="Arial Black" w:hAnsi="Arial Black"/>
        </w:rPr>
      </w:pPr>
      <w:r w:rsidRPr="00827987">
        <w:rPr>
          <w:rFonts w:ascii="Arial Black" w:hAnsi="Arial Black"/>
        </w:rPr>
        <w:lastRenderedPageBreak/>
        <w:t>NEPICAR SAND QUARRY</w:t>
      </w:r>
      <w:r w:rsidR="00890377">
        <w:rPr>
          <w:rFonts w:ascii="Arial Black" w:hAnsi="Arial Black"/>
        </w:rPr>
        <w:t xml:space="preserve">  </w:t>
      </w:r>
      <w:r w:rsidR="00827987">
        <w:rPr>
          <w:rFonts w:ascii="Arial Black" w:hAnsi="Arial Black"/>
        </w:rPr>
        <w:t>( J CLUBB 1993</w:t>
      </w:r>
      <w:r w:rsidRPr="00827987">
        <w:rPr>
          <w:rFonts w:ascii="Arial Black" w:hAnsi="Arial Black"/>
        </w:rPr>
        <w:t xml:space="preserve">)  </w:t>
      </w:r>
    </w:p>
    <w:p w:rsidR="00FB573F" w:rsidRDefault="00DE1323" w:rsidP="00FB573F">
      <w:r>
        <w:t xml:space="preserve">Originally permitted in 1993 as a supply for </w:t>
      </w:r>
      <w:proofErr w:type="spellStart"/>
      <w:r>
        <w:t>Ryarsh</w:t>
      </w:r>
      <w:proofErr w:type="spellEnd"/>
      <w:r>
        <w:t xml:space="preserve"> Brick works, the permission was modified in 1998 to a</w:t>
      </w:r>
      <w:r w:rsidR="00827987">
        <w:t xml:space="preserve">llow general sand sales. </w:t>
      </w:r>
      <w:proofErr w:type="spellStart"/>
      <w:r w:rsidR="00827987">
        <w:t>Clubbs</w:t>
      </w:r>
      <w:proofErr w:type="spellEnd"/>
      <w:r>
        <w:t xml:space="preserve"> recently purchase</w:t>
      </w:r>
      <w:r w:rsidR="00890377">
        <w:t>d Nepicar Farm to the north</w:t>
      </w:r>
      <w:r>
        <w:t xml:space="preserve">east </w:t>
      </w:r>
      <w:r w:rsidR="00FB573F">
        <w:t>of the existing p</w:t>
      </w:r>
      <w:r w:rsidR="00890377">
        <w:t>it</w:t>
      </w:r>
      <w:r>
        <w:t>.</w:t>
      </w:r>
      <w:r w:rsidR="00FB573F" w:rsidRPr="00FB573F">
        <w:t xml:space="preserve"> </w:t>
      </w:r>
      <w:r w:rsidR="00FB573F">
        <w:t>Phase 4 extraction 2 years from 2028</w:t>
      </w:r>
      <w:r w:rsidR="00264C53">
        <w:t xml:space="preserve">, </w:t>
      </w:r>
      <w:proofErr w:type="spellStart"/>
      <w:r w:rsidR="00264C53">
        <w:t>Clubbs</w:t>
      </w:r>
      <w:proofErr w:type="spellEnd"/>
      <w:r w:rsidR="00264C53">
        <w:t xml:space="preserve"> estimate 2.3m tonnes of sand to extract</w:t>
      </w:r>
      <w:r w:rsidR="00FB573F">
        <w:t xml:space="preserve">. There is much useful information in the March 2016 </w:t>
      </w:r>
      <w:proofErr w:type="spellStart"/>
      <w:r w:rsidR="00FB573F">
        <w:t>Civitas</w:t>
      </w:r>
      <w:proofErr w:type="spellEnd"/>
      <w:r w:rsidR="00FB573F">
        <w:t xml:space="preserve"> Planning report in TM/15/01636, which notes problems diverting the access road through Nepicar Farm because Nepicar  Meadow Cottage and  The Chalet who have access rights over the road refuse their permission for the diversion. Accommodating this could take "20 years from today", long past the requested completion of excavation in Phase 4 of 2028/2030, and therefore extending the time frame well beyond the current 2031 envisaged by the Local Plan</w:t>
      </w:r>
      <w:r w:rsidR="00890377">
        <w:t>.</w:t>
      </w:r>
    </w:p>
    <w:p w:rsidR="00890377" w:rsidRDefault="00890377" w:rsidP="00FB573F">
      <w:r>
        <w:t>The decisions refer to a daily HGV traffic of 94 per day , falling to 68, 34 each way.</w:t>
      </w:r>
    </w:p>
    <w:p w:rsidR="00890377" w:rsidRDefault="00890377" w:rsidP="00FB573F"/>
    <w:p w:rsidR="00890377" w:rsidRPr="00890377" w:rsidRDefault="00890377" w:rsidP="00FB573F">
      <w:pPr>
        <w:rPr>
          <w:i/>
        </w:rPr>
      </w:pPr>
      <w:r w:rsidRPr="00890377">
        <w:rPr>
          <w:i/>
        </w:rPr>
        <w:t>Evidence</w:t>
      </w:r>
    </w:p>
    <w:p w:rsidR="00890377" w:rsidRPr="00890377" w:rsidRDefault="00890377" w:rsidP="00663595">
      <w:pPr>
        <w:rPr>
          <w:i/>
        </w:rPr>
      </w:pPr>
      <w:r w:rsidRPr="00890377">
        <w:rPr>
          <w:i/>
        </w:rPr>
        <w:t>TM/</w:t>
      </w:r>
      <w:r w:rsidR="00663595" w:rsidRPr="00890377">
        <w:rPr>
          <w:i/>
        </w:rPr>
        <w:t xml:space="preserve">98/01815  </w:t>
      </w:r>
      <w:r w:rsidRPr="00890377">
        <w:rPr>
          <w:i/>
        </w:rPr>
        <w:t>Decision</w:t>
      </w:r>
    </w:p>
    <w:p w:rsidR="00890377" w:rsidRPr="00890377" w:rsidRDefault="00890377" w:rsidP="00663595">
      <w:pPr>
        <w:rPr>
          <w:i/>
        </w:rPr>
      </w:pPr>
      <w:r w:rsidRPr="00890377">
        <w:rPr>
          <w:i/>
        </w:rPr>
        <w:t>TM/</w:t>
      </w:r>
      <w:r w:rsidR="00663595" w:rsidRPr="00890377">
        <w:rPr>
          <w:i/>
        </w:rPr>
        <w:t xml:space="preserve"> 08/02653  </w:t>
      </w:r>
      <w:r w:rsidRPr="00890377">
        <w:rPr>
          <w:i/>
        </w:rPr>
        <w:t>Decision</w:t>
      </w:r>
    </w:p>
    <w:p w:rsidR="00663595" w:rsidRDefault="00890377" w:rsidP="00663595">
      <w:pPr>
        <w:rPr>
          <w:i/>
        </w:rPr>
      </w:pPr>
      <w:r w:rsidRPr="00890377">
        <w:rPr>
          <w:i/>
        </w:rPr>
        <w:t>TM/</w:t>
      </w:r>
      <w:r w:rsidR="00663595" w:rsidRPr="00890377">
        <w:rPr>
          <w:i/>
        </w:rPr>
        <w:t xml:space="preserve"> 15/01636</w:t>
      </w:r>
      <w:r w:rsidRPr="00890377">
        <w:rPr>
          <w:i/>
        </w:rPr>
        <w:t xml:space="preserve">  Decision</w:t>
      </w:r>
    </w:p>
    <w:p w:rsidR="00663595" w:rsidRDefault="00890377">
      <w:pPr>
        <w:rPr>
          <w:i/>
        </w:rPr>
      </w:pPr>
      <w:proofErr w:type="spellStart"/>
      <w:r>
        <w:rPr>
          <w:i/>
        </w:rPr>
        <w:t>Civitas</w:t>
      </w:r>
      <w:proofErr w:type="spellEnd"/>
      <w:r>
        <w:rPr>
          <w:i/>
        </w:rPr>
        <w:t xml:space="preserve"> Report TM/15/01636</w:t>
      </w:r>
    </w:p>
    <w:p w:rsidR="00890377" w:rsidRPr="00890377" w:rsidRDefault="00890377" w:rsidP="00890377">
      <w:pPr>
        <w:jc w:val="right"/>
        <w:rPr>
          <w:i/>
        </w:rPr>
      </w:pPr>
      <w:r>
        <w:rPr>
          <w:i/>
        </w:rPr>
        <w:t>Site Plan TM/15/01636</w:t>
      </w:r>
    </w:p>
    <w:p w:rsidR="00663595" w:rsidRDefault="00663595">
      <w:r w:rsidRPr="00663595">
        <w:rPr>
          <w:noProof/>
          <w:lang w:eastAsia="en-GB"/>
        </w:rPr>
        <w:drawing>
          <wp:inline distT="0" distB="0" distL="0" distR="0">
            <wp:extent cx="5029200" cy="3556423"/>
            <wp:effectExtent l="19050" t="0" r="0" b="0"/>
            <wp:docPr id="40" name="Picture 2" descr="nepi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picar3"/>
                    <pic:cNvPicPr>
                      <a:picLocks noChangeAspect="1" noChangeArrowheads="1"/>
                    </pic:cNvPicPr>
                  </pic:nvPicPr>
                  <pic:blipFill>
                    <a:blip r:embed="rId25" cstate="print"/>
                    <a:srcRect/>
                    <a:stretch>
                      <a:fillRect/>
                    </a:stretch>
                  </pic:blipFill>
                  <pic:spPr bwMode="auto">
                    <a:xfrm>
                      <a:off x="0" y="0"/>
                      <a:ext cx="5029200" cy="3556423"/>
                    </a:xfrm>
                    <a:prstGeom prst="rect">
                      <a:avLst/>
                    </a:prstGeom>
                    <a:noFill/>
                    <a:ln w="9525">
                      <a:noFill/>
                      <a:miter lim="800000"/>
                      <a:headEnd/>
                      <a:tailEnd/>
                    </a:ln>
                  </pic:spPr>
                </pic:pic>
              </a:graphicData>
            </a:graphic>
          </wp:inline>
        </w:drawing>
      </w:r>
    </w:p>
    <w:p w:rsidR="00352AB4" w:rsidRDefault="00352AB4">
      <w:r>
        <w:t xml:space="preserve">                                                                               </w:t>
      </w:r>
      <w:r w:rsidR="00663595">
        <w:t xml:space="preserve">         </w:t>
      </w:r>
      <w:r>
        <w:t xml:space="preserve">Current picture </w:t>
      </w:r>
      <w:r w:rsidR="00663595">
        <w:t xml:space="preserve">facing West </w:t>
      </w:r>
      <w:r>
        <w:t>June 2018 Landfill status unknown</w:t>
      </w:r>
    </w:p>
    <w:p w:rsidR="00836A9F" w:rsidRDefault="00352AB4">
      <w:r>
        <w:rPr>
          <w:noProof/>
          <w:lang w:eastAsia="en-GB"/>
        </w:rPr>
        <w:drawing>
          <wp:inline distT="0" distB="0" distL="0" distR="0">
            <wp:extent cx="4555395" cy="3028950"/>
            <wp:effectExtent l="19050" t="0" r="0" b="0"/>
            <wp:docPr id="5" name="Picture 4" descr="n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JPG"/>
                    <pic:cNvPicPr/>
                  </pic:nvPicPr>
                  <pic:blipFill>
                    <a:blip r:embed="rId26" cstate="print"/>
                    <a:stretch>
                      <a:fillRect/>
                    </a:stretch>
                  </pic:blipFill>
                  <pic:spPr>
                    <a:xfrm>
                      <a:off x="0" y="0"/>
                      <a:ext cx="4558958" cy="3031319"/>
                    </a:xfrm>
                    <a:prstGeom prst="rect">
                      <a:avLst/>
                    </a:prstGeom>
                  </pic:spPr>
                </pic:pic>
              </a:graphicData>
            </a:graphic>
          </wp:inline>
        </w:drawing>
      </w:r>
    </w:p>
    <w:p w:rsidR="00A530B3" w:rsidRDefault="00A530B3" w:rsidP="00A530B3">
      <w:pPr>
        <w:rPr>
          <w:i/>
        </w:rPr>
      </w:pPr>
      <w:r>
        <w:rPr>
          <w:i/>
        </w:rPr>
        <w:lastRenderedPageBreak/>
        <w:t xml:space="preserve">Extract </w:t>
      </w:r>
      <w:proofErr w:type="spellStart"/>
      <w:r>
        <w:rPr>
          <w:i/>
        </w:rPr>
        <w:t>Civitas</w:t>
      </w:r>
      <w:proofErr w:type="spellEnd"/>
      <w:r>
        <w:rPr>
          <w:i/>
        </w:rPr>
        <w:t xml:space="preserve"> Planning Report TM/15/01636</w:t>
      </w:r>
    </w:p>
    <w:p w:rsidR="00264C53" w:rsidRDefault="00264C53" w:rsidP="00264C53">
      <w:pPr>
        <w:autoSpaceDE w:val="0"/>
        <w:autoSpaceDN w:val="0"/>
        <w:adjustRightInd w:val="0"/>
        <w:rPr>
          <w:rFonts w:ascii="Arial" w:hAnsi="Arial" w:cs="Arial"/>
        </w:rPr>
      </w:pPr>
      <w:r>
        <w:rPr>
          <w:rFonts w:ascii="Arial" w:hAnsi="Arial" w:cs="Arial"/>
        </w:rPr>
        <w:t>3.12 Figure Two below shows the proposed new phasing which includes the</w:t>
      </w:r>
    </w:p>
    <w:p w:rsidR="00264C53" w:rsidRDefault="00264C53" w:rsidP="00264C53">
      <w:pPr>
        <w:autoSpaceDE w:val="0"/>
        <w:autoSpaceDN w:val="0"/>
        <w:adjustRightInd w:val="0"/>
        <w:rPr>
          <w:rFonts w:ascii="Arial" w:hAnsi="Arial" w:cs="Arial"/>
        </w:rPr>
      </w:pPr>
      <w:r>
        <w:rPr>
          <w:rFonts w:ascii="Arial" w:hAnsi="Arial" w:cs="Arial"/>
        </w:rPr>
        <w:t>increased extraction area gained by remodelling the quarry. Analysis suggests the</w:t>
      </w:r>
    </w:p>
    <w:p w:rsidR="00264C53" w:rsidRDefault="00264C53" w:rsidP="00264C53">
      <w:pPr>
        <w:autoSpaceDE w:val="0"/>
        <w:autoSpaceDN w:val="0"/>
        <w:adjustRightInd w:val="0"/>
        <w:rPr>
          <w:rFonts w:ascii="Arial" w:hAnsi="Arial" w:cs="Arial"/>
        </w:rPr>
      </w:pPr>
      <w:r>
        <w:rPr>
          <w:rFonts w:ascii="Arial" w:hAnsi="Arial" w:cs="Arial"/>
        </w:rPr>
        <w:t>remodelled phasing is better able to provide the sand grades for blending to meet</w:t>
      </w:r>
    </w:p>
    <w:p w:rsidR="00264C53" w:rsidRDefault="00264C53" w:rsidP="00264C53">
      <w:pPr>
        <w:autoSpaceDE w:val="0"/>
        <w:autoSpaceDN w:val="0"/>
        <w:adjustRightInd w:val="0"/>
        <w:rPr>
          <w:rFonts w:ascii="Arial" w:hAnsi="Arial" w:cs="Arial"/>
        </w:rPr>
      </w:pPr>
      <w:r>
        <w:rPr>
          <w:rFonts w:ascii="Arial" w:hAnsi="Arial" w:cs="Arial"/>
        </w:rPr>
        <w:t>customer demand. Clearly there is a better proportion of sand colour in the new</w:t>
      </w:r>
    </w:p>
    <w:p w:rsidR="00264C53" w:rsidRDefault="00264C53" w:rsidP="00264C53">
      <w:pPr>
        <w:autoSpaceDE w:val="0"/>
        <w:autoSpaceDN w:val="0"/>
        <w:adjustRightInd w:val="0"/>
        <w:rPr>
          <w:rFonts w:ascii="Arial" w:hAnsi="Arial" w:cs="Arial"/>
        </w:rPr>
      </w:pPr>
      <w:r>
        <w:rPr>
          <w:rFonts w:ascii="Arial" w:hAnsi="Arial" w:cs="Arial"/>
        </w:rPr>
        <w:t>phases which is achieved by increasing the size of the phase to provide sufficient</w:t>
      </w:r>
    </w:p>
    <w:p w:rsidR="00264C53" w:rsidRDefault="00264C53" w:rsidP="00264C53">
      <w:pPr>
        <w:autoSpaceDE w:val="0"/>
        <w:autoSpaceDN w:val="0"/>
        <w:adjustRightInd w:val="0"/>
        <w:rPr>
          <w:rFonts w:ascii="Arial" w:hAnsi="Arial" w:cs="Arial"/>
        </w:rPr>
      </w:pPr>
      <w:r>
        <w:rPr>
          <w:rFonts w:ascii="Arial" w:hAnsi="Arial" w:cs="Arial"/>
        </w:rPr>
        <w:t>sand of the required grade. The re-modelling also maximises the sand that can be</w:t>
      </w:r>
    </w:p>
    <w:p w:rsidR="00264C53" w:rsidRDefault="00264C53" w:rsidP="00264C53">
      <w:pPr>
        <w:autoSpaceDE w:val="0"/>
        <w:autoSpaceDN w:val="0"/>
        <w:adjustRightInd w:val="0"/>
        <w:rPr>
          <w:rFonts w:ascii="Arial" w:hAnsi="Arial" w:cs="Arial"/>
        </w:rPr>
      </w:pPr>
      <w:r>
        <w:rPr>
          <w:rFonts w:ascii="Arial" w:hAnsi="Arial" w:cs="Arial"/>
        </w:rPr>
        <w:t>won, increasing volumes from 1.9mt to 2.3mt with the new phases.</w:t>
      </w:r>
    </w:p>
    <w:p w:rsidR="00264C53" w:rsidRDefault="00264C53" w:rsidP="00264C53">
      <w:pPr>
        <w:autoSpaceDE w:val="0"/>
        <w:autoSpaceDN w:val="0"/>
        <w:adjustRightInd w:val="0"/>
        <w:rPr>
          <w:rFonts w:ascii="Arial" w:hAnsi="Arial" w:cs="Arial"/>
        </w:rPr>
      </w:pPr>
    </w:p>
    <w:p w:rsidR="00264C53" w:rsidRPr="009528DF" w:rsidRDefault="00264C53" w:rsidP="00264C53">
      <w:pPr>
        <w:autoSpaceDE w:val="0"/>
        <w:autoSpaceDN w:val="0"/>
        <w:adjustRightInd w:val="0"/>
        <w:rPr>
          <w:rFonts w:ascii="Arial" w:hAnsi="Arial" w:cs="Arial"/>
          <w:i/>
        </w:rPr>
      </w:pPr>
      <w:r w:rsidRPr="009528DF">
        <w:rPr>
          <w:rFonts w:ascii="Arial" w:hAnsi="Arial" w:cs="Arial"/>
          <w:i/>
        </w:rPr>
        <w:t>Figure Two Sand Volumes by Proposed Phasing</w:t>
      </w:r>
    </w:p>
    <w:p w:rsidR="00264C53" w:rsidRDefault="00264C53" w:rsidP="00264C53">
      <w:pPr>
        <w:autoSpaceDE w:val="0"/>
        <w:autoSpaceDN w:val="0"/>
        <w:adjustRightInd w:val="0"/>
        <w:rPr>
          <w:rFonts w:ascii="Arial" w:hAnsi="Arial" w:cs="Arial"/>
        </w:rPr>
      </w:pPr>
    </w:p>
    <w:tbl>
      <w:tblPr>
        <w:tblStyle w:val="TableGrid"/>
        <w:tblW w:w="0" w:type="auto"/>
        <w:tblLook w:val="04A0"/>
      </w:tblPr>
      <w:tblGrid>
        <w:gridCol w:w="2136"/>
        <w:gridCol w:w="2136"/>
        <w:gridCol w:w="2136"/>
        <w:gridCol w:w="2137"/>
        <w:gridCol w:w="2137"/>
      </w:tblGrid>
      <w:tr w:rsidR="00264C53" w:rsidTr="00264C53">
        <w:tc>
          <w:tcPr>
            <w:tcW w:w="2136" w:type="dxa"/>
          </w:tcPr>
          <w:p w:rsidR="00264C53" w:rsidRDefault="00264C53" w:rsidP="00264C53">
            <w:pPr>
              <w:autoSpaceDE w:val="0"/>
              <w:autoSpaceDN w:val="0"/>
              <w:adjustRightInd w:val="0"/>
              <w:rPr>
                <w:rFonts w:ascii="Arial" w:hAnsi="Arial" w:cs="Arial"/>
              </w:rPr>
            </w:pPr>
            <w:r>
              <w:rPr>
                <w:rFonts w:ascii="Arial,Bold" w:hAnsi="Arial,Bold" w:cs="Arial,Bold"/>
                <w:b/>
                <w:bCs/>
              </w:rPr>
              <w:t>Phase</w:t>
            </w:r>
          </w:p>
        </w:tc>
        <w:tc>
          <w:tcPr>
            <w:tcW w:w="2136" w:type="dxa"/>
          </w:tcPr>
          <w:p w:rsidR="00264C53" w:rsidRDefault="00264C53" w:rsidP="00264C53">
            <w:pPr>
              <w:autoSpaceDE w:val="0"/>
              <w:autoSpaceDN w:val="0"/>
              <w:adjustRightInd w:val="0"/>
              <w:rPr>
                <w:rFonts w:ascii="Arial" w:hAnsi="Arial" w:cs="Arial"/>
              </w:rPr>
            </w:pPr>
            <w:r>
              <w:rPr>
                <w:rFonts w:ascii="Arial,Bold" w:hAnsi="Arial,Bold" w:cs="Arial,Bold"/>
                <w:b/>
                <w:bCs/>
              </w:rPr>
              <w:t>Brown</w:t>
            </w:r>
          </w:p>
        </w:tc>
        <w:tc>
          <w:tcPr>
            <w:tcW w:w="2136" w:type="dxa"/>
          </w:tcPr>
          <w:p w:rsidR="00264C53" w:rsidRDefault="00264C53" w:rsidP="00264C53">
            <w:pPr>
              <w:autoSpaceDE w:val="0"/>
              <w:autoSpaceDN w:val="0"/>
              <w:adjustRightInd w:val="0"/>
              <w:rPr>
                <w:rFonts w:ascii="Arial" w:hAnsi="Arial" w:cs="Arial"/>
              </w:rPr>
            </w:pPr>
            <w:r>
              <w:rPr>
                <w:rFonts w:ascii="Arial,Bold" w:hAnsi="Arial,Bold" w:cs="Arial,Bold"/>
                <w:b/>
                <w:bCs/>
              </w:rPr>
              <w:t>Pale</w:t>
            </w:r>
          </w:p>
        </w:tc>
        <w:tc>
          <w:tcPr>
            <w:tcW w:w="2137" w:type="dxa"/>
          </w:tcPr>
          <w:p w:rsidR="00264C53" w:rsidRDefault="00264C53" w:rsidP="00264C53">
            <w:pPr>
              <w:autoSpaceDE w:val="0"/>
              <w:autoSpaceDN w:val="0"/>
              <w:adjustRightInd w:val="0"/>
              <w:rPr>
                <w:rFonts w:ascii="Arial" w:hAnsi="Arial" w:cs="Arial"/>
              </w:rPr>
            </w:pPr>
            <w:r>
              <w:rPr>
                <w:rFonts w:ascii="Arial,Bold" w:hAnsi="Arial,Bold" w:cs="Arial,Bold"/>
                <w:b/>
                <w:bCs/>
              </w:rPr>
              <w:t>Orange</w:t>
            </w:r>
          </w:p>
        </w:tc>
        <w:tc>
          <w:tcPr>
            <w:tcW w:w="2137" w:type="dxa"/>
          </w:tcPr>
          <w:p w:rsidR="00264C53" w:rsidRDefault="00264C53" w:rsidP="00264C53">
            <w:pPr>
              <w:autoSpaceDE w:val="0"/>
              <w:autoSpaceDN w:val="0"/>
              <w:adjustRightInd w:val="0"/>
              <w:rPr>
                <w:rFonts w:ascii="Arial" w:hAnsi="Arial" w:cs="Arial"/>
              </w:rPr>
            </w:pPr>
            <w:r>
              <w:rPr>
                <w:rFonts w:ascii="Arial,Bold" w:hAnsi="Arial,Bold" w:cs="Arial,Bold"/>
                <w:b/>
                <w:bCs/>
              </w:rPr>
              <w:t>Total</w:t>
            </w:r>
            <w:r>
              <w:rPr>
                <w:rFonts w:ascii="Arial" w:hAnsi="Arial" w:cs="Arial"/>
              </w:rPr>
              <w:t>(tonnes)</w:t>
            </w:r>
          </w:p>
        </w:tc>
      </w:tr>
      <w:tr w:rsidR="00264C53" w:rsidTr="00264C53">
        <w:tc>
          <w:tcPr>
            <w:tcW w:w="2136" w:type="dxa"/>
          </w:tcPr>
          <w:p w:rsidR="00264C53" w:rsidRDefault="00264C53" w:rsidP="00264C53">
            <w:pPr>
              <w:autoSpaceDE w:val="0"/>
              <w:autoSpaceDN w:val="0"/>
              <w:adjustRightInd w:val="0"/>
              <w:rPr>
                <w:rFonts w:ascii="Arial" w:hAnsi="Arial" w:cs="Arial"/>
              </w:rPr>
            </w:pPr>
            <w:r>
              <w:rPr>
                <w:rFonts w:ascii="Arial" w:hAnsi="Arial" w:cs="Arial"/>
              </w:rPr>
              <w:t>1</w:t>
            </w:r>
          </w:p>
        </w:tc>
        <w:tc>
          <w:tcPr>
            <w:tcW w:w="2136" w:type="dxa"/>
          </w:tcPr>
          <w:p w:rsidR="00264C53" w:rsidRDefault="00264C53" w:rsidP="00264C53">
            <w:pPr>
              <w:autoSpaceDE w:val="0"/>
              <w:autoSpaceDN w:val="0"/>
              <w:adjustRightInd w:val="0"/>
              <w:rPr>
                <w:rFonts w:ascii="Arial" w:hAnsi="Arial" w:cs="Arial"/>
              </w:rPr>
            </w:pPr>
            <w:r>
              <w:rPr>
                <w:rFonts w:ascii="Arial" w:hAnsi="Arial" w:cs="Arial"/>
              </w:rPr>
              <w:t>288,600</w:t>
            </w:r>
          </w:p>
        </w:tc>
        <w:tc>
          <w:tcPr>
            <w:tcW w:w="2136"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650,600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39,500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978,700</w:t>
            </w:r>
          </w:p>
        </w:tc>
      </w:tr>
      <w:tr w:rsidR="00264C53" w:rsidTr="00264C53">
        <w:tc>
          <w:tcPr>
            <w:tcW w:w="2136" w:type="dxa"/>
          </w:tcPr>
          <w:p w:rsidR="00264C53" w:rsidRDefault="00264C53" w:rsidP="00264C53">
            <w:pPr>
              <w:autoSpaceDE w:val="0"/>
              <w:autoSpaceDN w:val="0"/>
              <w:adjustRightInd w:val="0"/>
              <w:rPr>
                <w:rFonts w:ascii="Arial" w:hAnsi="Arial" w:cs="Arial"/>
              </w:rPr>
            </w:pPr>
            <w:r>
              <w:rPr>
                <w:rFonts w:ascii="Arial" w:hAnsi="Arial" w:cs="Arial"/>
              </w:rPr>
              <w:t>2</w:t>
            </w:r>
          </w:p>
        </w:tc>
        <w:tc>
          <w:tcPr>
            <w:tcW w:w="2136"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79,400</w:t>
            </w:r>
          </w:p>
        </w:tc>
        <w:tc>
          <w:tcPr>
            <w:tcW w:w="2136"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163,400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31,700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w:t>
            </w:r>
            <w:r w:rsidR="00264C53">
              <w:rPr>
                <w:rFonts w:ascii="Arial" w:hAnsi="Arial" w:cs="Arial"/>
              </w:rPr>
              <w:t>274,500</w:t>
            </w:r>
          </w:p>
        </w:tc>
      </w:tr>
      <w:tr w:rsidR="00264C53" w:rsidTr="00264C53">
        <w:tc>
          <w:tcPr>
            <w:tcW w:w="2136" w:type="dxa"/>
          </w:tcPr>
          <w:p w:rsidR="00264C53" w:rsidRDefault="00264C53" w:rsidP="00264C53">
            <w:pPr>
              <w:autoSpaceDE w:val="0"/>
              <w:autoSpaceDN w:val="0"/>
              <w:adjustRightInd w:val="0"/>
              <w:rPr>
                <w:rFonts w:ascii="Arial" w:hAnsi="Arial" w:cs="Arial"/>
              </w:rPr>
            </w:pPr>
            <w:r>
              <w:rPr>
                <w:rFonts w:ascii="Arial" w:hAnsi="Arial" w:cs="Arial"/>
              </w:rPr>
              <w:t>3</w:t>
            </w:r>
          </w:p>
        </w:tc>
        <w:tc>
          <w:tcPr>
            <w:tcW w:w="2136" w:type="dxa"/>
          </w:tcPr>
          <w:p w:rsidR="00264C53" w:rsidRDefault="00264C53" w:rsidP="00264C53">
            <w:pPr>
              <w:autoSpaceDE w:val="0"/>
              <w:autoSpaceDN w:val="0"/>
              <w:adjustRightInd w:val="0"/>
              <w:rPr>
                <w:rFonts w:ascii="Arial" w:hAnsi="Arial" w:cs="Arial"/>
              </w:rPr>
            </w:pPr>
            <w:r>
              <w:rPr>
                <w:rFonts w:ascii="Arial" w:hAnsi="Arial" w:cs="Arial"/>
              </w:rPr>
              <w:t>337,600</w:t>
            </w:r>
          </w:p>
        </w:tc>
        <w:tc>
          <w:tcPr>
            <w:tcW w:w="2136" w:type="dxa"/>
          </w:tcPr>
          <w:p w:rsidR="00264C53" w:rsidRDefault="00A530B3" w:rsidP="00264C53">
            <w:pPr>
              <w:autoSpaceDE w:val="0"/>
              <w:autoSpaceDN w:val="0"/>
              <w:adjustRightInd w:val="0"/>
              <w:rPr>
                <w:rFonts w:ascii="Arial" w:hAnsi="Arial" w:cs="Arial"/>
              </w:rPr>
            </w:pPr>
            <w:r>
              <w:rPr>
                <w:rFonts w:ascii="Arial" w:hAnsi="Arial" w:cs="Arial"/>
              </w:rPr>
              <w:t xml:space="preserve">   364,000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53,900</w:t>
            </w:r>
          </w:p>
        </w:tc>
        <w:tc>
          <w:tcPr>
            <w:tcW w:w="2137" w:type="dxa"/>
          </w:tcPr>
          <w:p w:rsidR="00264C53" w:rsidRDefault="00A530B3" w:rsidP="00264C53">
            <w:pPr>
              <w:autoSpaceDE w:val="0"/>
              <w:autoSpaceDN w:val="0"/>
              <w:adjustRightInd w:val="0"/>
              <w:rPr>
                <w:rFonts w:ascii="Arial" w:hAnsi="Arial" w:cs="Arial"/>
              </w:rPr>
            </w:pPr>
            <w:r>
              <w:rPr>
                <w:rFonts w:ascii="Arial" w:hAnsi="Arial" w:cs="Arial"/>
              </w:rPr>
              <w:t xml:space="preserve">   755,500</w:t>
            </w:r>
          </w:p>
        </w:tc>
      </w:tr>
      <w:tr w:rsidR="00A530B3" w:rsidTr="00264C53">
        <w:tc>
          <w:tcPr>
            <w:tcW w:w="2136" w:type="dxa"/>
          </w:tcPr>
          <w:p w:rsidR="00A530B3" w:rsidRDefault="00A530B3" w:rsidP="00264C53">
            <w:pPr>
              <w:autoSpaceDE w:val="0"/>
              <w:autoSpaceDN w:val="0"/>
              <w:adjustRightInd w:val="0"/>
              <w:rPr>
                <w:rFonts w:ascii="Arial" w:hAnsi="Arial" w:cs="Arial"/>
              </w:rPr>
            </w:pPr>
            <w:r>
              <w:rPr>
                <w:rFonts w:ascii="Arial" w:hAnsi="Arial" w:cs="Arial"/>
              </w:rPr>
              <w:t>4</w:t>
            </w:r>
          </w:p>
        </w:tc>
        <w:tc>
          <w:tcPr>
            <w:tcW w:w="2136" w:type="dxa"/>
          </w:tcPr>
          <w:p w:rsidR="00A530B3" w:rsidRDefault="00A530B3" w:rsidP="00264C53">
            <w:pPr>
              <w:autoSpaceDE w:val="0"/>
              <w:autoSpaceDN w:val="0"/>
              <w:adjustRightInd w:val="0"/>
              <w:rPr>
                <w:rFonts w:ascii="Arial" w:hAnsi="Arial" w:cs="Arial"/>
              </w:rPr>
            </w:pPr>
            <w:r>
              <w:rPr>
                <w:rFonts w:ascii="Arial" w:hAnsi="Arial" w:cs="Arial"/>
              </w:rPr>
              <w:t>-</w:t>
            </w:r>
          </w:p>
        </w:tc>
        <w:tc>
          <w:tcPr>
            <w:tcW w:w="2136" w:type="dxa"/>
          </w:tcPr>
          <w:p w:rsidR="00A530B3" w:rsidRDefault="00A530B3" w:rsidP="000A0003">
            <w:pPr>
              <w:autoSpaceDE w:val="0"/>
              <w:autoSpaceDN w:val="0"/>
              <w:adjustRightInd w:val="0"/>
              <w:rPr>
                <w:rFonts w:ascii="Arial" w:hAnsi="Arial" w:cs="Arial"/>
              </w:rPr>
            </w:pPr>
            <w:r>
              <w:rPr>
                <w:rFonts w:ascii="Arial" w:hAnsi="Arial" w:cs="Arial"/>
              </w:rPr>
              <w:t xml:space="preserve">   134,100</w:t>
            </w:r>
          </w:p>
        </w:tc>
        <w:tc>
          <w:tcPr>
            <w:tcW w:w="2137" w:type="dxa"/>
          </w:tcPr>
          <w:p w:rsidR="00A530B3" w:rsidRDefault="00A530B3" w:rsidP="000A0003">
            <w:pPr>
              <w:autoSpaceDE w:val="0"/>
              <w:autoSpaceDN w:val="0"/>
              <w:adjustRightInd w:val="0"/>
              <w:rPr>
                <w:rFonts w:ascii="Arial" w:hAnsi="Arial" w:cs="Arial"/>
              </w:rPr>
            </w:pPr>
            <w:r>
              <w:rPr>
                <w:rFonts w:ascii="Arial" w:hAnsi="Arial" w:cs="Arial"/>
              </w:rPr>
              <w:t>170,900</w:t>
            </w:r>
          </w:p>
        </w:tc>
        <w:tc>
          <w:tcPr>
            <w:tcW w:w="2137" w:type="dxa"/>
          </w:tcPr>
          <w:p w:rsidR="00A530B3" w:rsidRDefault="00A530B3" w:rsidP="000A0003">
            <w:pPr>
              <w:autoSpaceDE w:val="0"/>
              <w:autoSpaceDN w:val="0"/>
              <w:adjustRightInd w:val="0"/>
              <w:rPr>
                <w:rFonts w:ascii="Arial" w:hAnsi="Arial" w:cs="Arial"/>
              </w:rPr>
            </w:pPr>
            <w:r>
              <w:rPr>
                <w:rFonts w:ascii="Arial" w:hAnsi="Arial" w:cs="Arial"/>
              </w:rPr>
              <w:t xml:space="preserve">   305,000</w:t>
            </w:r>
          </w:p>
        </w:tc>
      </w:tr>
      <w:tr w:rsidR="00A530B3" w:rsidTr="00264C53">
        <w:tc>
          <w:tcPr>
            <w:tcW w:w="2136" w:type="dxa"/>
          </w:tcPr>
          <w:p w:rsidR="00A530B3" w:rsidRDefault="00A530B3" w:rsidP="00264C53">
            <w:pPr>
              <w:autoSpaceDE w:val="0"/>
              <w:autoSpaceDN w:val="0"/>
              <w:adjustRightInd w:val="0"/>
              <w:rPr>
                <w:rFonts w:ascii="Arial" w:hAnsi="Arial" w:cs="Arial"/>
              </w:rPr>
            </w:pPr>
            <w:r>
              <w:rPr>
                <w:rFonts w:ascii="Arial" w:hAnsi="Arial" w:cs="Arial"/>
              </w:rPr>
              <w:t>Total</w:t>
            </w:r>
          </w:p>
        </w:tc>
        <w:tc>
          <w:tcPr>
            <w:tcW w:w="2136" w:type="dxa"/>
          </w:tcPr>
          <w:p w:rsidR="00A530B3" w:rsidRDefault="00A530B3" w:rsidP="00264C53">
            <w:pPr>
              <w:autoSpaceDE w:val="0"/>
              <w:autoSpaceDN w:val="0"/>
              <w:adjustRightInd w:val="0"/>
              <w:rPr>
                <w:rFonts w:ascii="Arial" w:hAnsi="Arial" w:cs="Arial"/>
              </w:rPr>
            </w:pPr>
            <w:r>
              <w:rPr>
                <w:rFonts w:ascii="Arial" w:hAnsi="Arial" w:cs="Arial"/>
              </w:rPr>
              <w:t>705,600</w:t>
            </w:r>
          </w:p>
        </w:tc>
        <w:tc>
          <w:tcPr>
            <w:tcW w:w="2136" w:type="dxa"/>
          </w:tcPr>
          <w:p w:rsidR="00A530B3" w:rsidRDefault="00A530B3" w:rsidP="00264C53">
            <w:pPr>
              <w:autoSpaceDE w:val="0"/>
              <w:autoSpaceDN w:val="0"/>
              <w:adjustRightInd w:val="0"/>
              <w:rPr>
                <w:rFonts w:ascii="Arial" w:hAnsi="Arial" w:cs="Arial"/>
              </w:rPr>
            </w:pPr>
            <w:r>
              <w:rPr>
                <w:rFonts w:ascii="Arial" w:hAnsi="Arial" w:cs="Arial"/>
              </w:rPr>
              <w:t>1,312,000</w:t>
            </w:r>
          </w:p>
        </w:tc>
        <w:tc>
          <w:tcPr>
            <w:tcW w:w="2137" w:type="dxa"/>
          </w:tcPr>
          <w:p w:rsidR="00A530B3" w:rsidRDefault="00A530B3" w:rsidP="00264C53">
            <w:pPr>
              <w:autoSpaceDE w:val="0"/>
              <w:autoSpaceDN w:val="0"/>
              <w:adjustRightInd w:val="0"/>
              <w:rPr>
                <w:rFonts w:ascii="Arial" w:hAnsi="Arial" w:cs="Arial"/>
              </w:rPr>
            </w:pPr>
            <w:r>
              <w:rPr>
                <w:rFonts w:ascii="Arial" w:hAnsi="Arial" w:cs="Arial"/>
              </w:rPr>
              <w:t>296,000</w:t>
            </w:r>
          </w:p>
        </w:tc>
        <w:tc>
          <w:tcPr>
            <w:tcW w:w="2137" w:type="dxa"/>
          </w:tcPr>
          <w:p w:rsidR="00A530B3" w:rsidRDefault="00A530B3" w:rsidP="00264C53">
            <w:pPr>
              <w:autoSpaceDE w:val="0"/>
              <w:autoSpaceDN w:val="0"/>
              <w:adjustRightInd w:val="0"/>
              <w:rPr>
                <w:rFonts w:ascii="Arial" w:hAnsi="Arial" w:cs="Arial"/>
              </w:rPr>
            </w:pPr>
            <w:r>
              <w:rPr>
                <w:rFonts w:ascii="Arial" w:hAnsi="Arial" w:cs="Arial"/>
              </w:rPr>
              <w:t>2,313,700</w:t>
            </w:r>
          </w:p>
        </w:tc>
      </w:tr>
    </w:tbl>
    <w:p w:rsidR="00264C53" w:rsidRDefault="00264C53" w:rsidP="00264C53">
      <w:pPr>
        <w:autoSpaceDE w:val="0"/>
        <w:autoSpaceDN w:val="0"/>
        <w:adjustRightInd w:val="0"/>
        <w:rPr>
          <w:rFonts w:ascii="Arial" w:hAnsi="Arial" w:cs="Arial"/>
        </w:rPr>
      </w:pPr>
    </w:p>
    <w:p w:rsidR="00264C53" w:rsidRDefault="00264C53" w:rsidP="00264C53">
      <w:pPr>
        <w:autoSpaceDE w:val="0"/>
        <w:autoSpaceDN w:val="0"/>
        <w:adjustRightInd w:val="0"/>
        <w:rPr>
          <w:rFonts w:ascii="Arial" w:hAnsi="Arial" w:cs="Arial"/>
        </w:rPr>
      </w:pPr>
      <w:r>
        <w:rPr>
          <w:rFonts w:ascii="Arial" w:hAnsi="Arial" w:cs="Arial"/>
        </w:rPr>
        <w:t xml:space="preserve">3.13 Current production (2013 sales) comprised some </w:t>
      </w:r>
      <w:r w:rsidRPr="009528DF">
        <w:rPr>
          <w:rFonts w:ascii="Arial" w:hAnsi="Arial" w:cs="Arial"/>
          <w:b/>
        </w:rPr>
        <w:t>162,000</w:t>
      </w:r>
      <w:r>
        <w:rPr>
          <w:rFonts w:ascii="Arial" w:hAnsi="Arial" w:cs="Arial"/>
        </w:rPr>
        <w:t xml:space="preserve"> tonnes of which</w:t>
      </w:r>
    </w:p>
    <w:p w:rsidR="00264C53" w:rsidRDefault="00264C53" w:rsidP="00264C53">
      <w:pPr>
        <w:autoSpaceDE w:val="0"/>
        <w:autoSpaceDN w:val="0"/>
        <w:adjustRightInd w:val="0"/>
        <w:rPr>
          <w:rFonts w:ascii="Arial" w:hAnsi="Arial" w:cs="Arial"/>
        </w:rPr>
      </w:pPr>
      <w:r>
        <w:rPr>
          <w:rFonts w:ascii="Arial" w:hAnsi="Arial" w:cs="Arial"/>
        </w:rPr>
        <w:t>96,000t was of blended products and 66,000t unmixed products and subject to</w:t>
      </w:r>
    </w:p>
    <w:p w:rsidR="00264C53" w:rsidRDefault="00264C53" w:rsidP="00264C53">
      <w:pPr>
        <w:autoSpaceDE w:val="0"/>
        <w:autoSpaceDN w:val="0"/>
        <w:adjustRightInd w:val="0"/>
        <w:rPr>
          <w:rFonts w:ascii="Arial" w:hAnsi="Arial" w:cs="Arial"/>
        </w:rPr>
      </w:pPr>
      <w:r>
        <w:rPr>
          <w:rFonts w:ascii="Arial" w:hAnsi="Arial" w:cs="Arial"/>
        </w:rPr>
        <w:t>market forces this is anticipated to be maintained. At this rate the new phases would</w:t>
      </w:r>
    </w:p>
    <w:p w:rsidR="00264C53" w:rsidRDefault="00264C53" w:rsidP="00264C53">
      <w:pPr>
        <w:autoSpaceDE w:val="0"/>
        <w:autoSpaceDN w:val="0"/>
        <w:adjustRightInd w:val="0"/>
        <w:rPr>
          <w:rFonts w:ascii="Arial" w:hAnsi="Arial" w:cs="Arial"/>
        </w:rPr>
      </w:pPr>
      <w:r>
        <w:rPr>
          <w:rFonts w:ascii="Arial" w:hAnsi="Arial" w:cs="Arial"/>
        </w:rPr>
        <w:t>be extracted as follows:</w:t>
      </w:r>
    </w:p>
    <w:p w:rsidR="009528DF" w:rsidRDefault="009528DF" w:rsidP="00264C53">
      <w:pPr>
        <w:autoSpaceDE w:val="0"/>
        <w:autoSpaceDN w:val="0"/>
        <w:adjustRightInd w:val="0"/>
        <w:rPr>
          <w:rFonts w:ascii="Arial" w:hAnsi="Arial" w:cs="Arial"/>
        </w:rPr>
      </w:pPr>
    </w:p>
    <w:p w:rsidR="00264C53" w:rsidRPr="009528DF" w:rsidRDefault="00264C53" w:rsidP="00264C53">
      <w:pPr>
        <w:autoSpaceDE w:val="0"/>
        <w:autoSpaceDN w:val="0"/>
        <w:adjustRightInd w:val="0"/>
        <w:rPr>
          <w:rFonts w:ascii="Arial" w:hAnsi="Arial" w:cs="Arial"/>
          <w:i/>
        </w:rPr>
      </w:pPr>
      <w:r w:rsidRPr="009528DF">
        <w:rPr>
          <w:rFonts w:ascii="Arial" w:hAnsi="Arial" w:cs="Arial"/>
          <w:i/>
        </w:rPr>
        <w:t>Figure Three Indicative Phase Duration</w:t>
      </w:r>
    </w:p>
    <w:p w:rsidR="00A530B3" w:rsidRDefault="00A530B3" w:rsidP="00264C53">
      <w:pPr>
        <w:autoSpaceDE w:val="0"/>
        <w:autoSpaceDN w:val="0"/>
        <w:adjustRightInd w:val="0"/>
        <w:rPr>
          <w:rFonts w:ascii="Arial" w:hAnsi="Arial" w:cs="Arial"/>
        </w:rPr>
      </w:pPr>
    </w:p>
    <w:tbl>
      <w:tblPr>
        <w:tblStyle w:val="TableGrid"/>
        <w:tblW w:w="0" w:type="auto"/>
        <w:tblLook w:val="04A0"/>
      </w:tblPr>
      <w:tblGrid>
        <w:gridCol w:w="1384"/>
        <w:gridCol w:w="1701"/>
        <w:gridCol w:w="2410"/>
      </w:tblGrid>
      <w:tr w:rsidR="00A530B3" w:rsidTr="00A530B3">
        <w:tc>
          <w:tcPr>
            <w:tcW w:w="1384"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Phase</w:t>
            </w:r>
          </w:p>
        </w:tc>
        <w:tc>
          <w:tcPr>
            <w:tcW w:w="1701"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Commence</w:t>
            </w:r>
          </w:p>
        </w:tc>
        <w:tc>
          <w:tcPr>
            <w:tcW w:w="2410"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Duration (years)</w:t>
            </w:r>
          </w:p>
        </w:tc>
      </w:tr>
      <w:tr w:rsidR="00A530B3" w:rsidTr="00A530B3">
        <w:tc>
          <w:tcPr>
            <w:tcW w:w="1384"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1</w:t>
            </w:r>
          </w:p>
        </w:tc>
        <w:tc>
          <w:tcPr>
            <w:tcW w:w="1701"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2015</w:t>
            </w:r>
          </w:p>
        </w:tc>
        <w:tc>
          <w:tcPr>
            <w:tcW w:w="2410"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6</w:t>
            </w:r>
          </w:p>
        </w:tc>
      </w:tr>
      <w:tr w:rsidR="00A530B3" w:rsidTr="00A530B3">
        <w:tc>
          <w:tcPr>
            <w:tcW w:w="1384"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w:t>
            </w:r>
          </w:p>
        </w:tc>
        <w:tc>
          <w:tcPr>
            <w:tcW w:w="1701"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2021</w:t>
            </w:r>
          </w:p>
        </w:tc>
        <w:tc>
          <w:tcPr>
            <w:tcW w:w="2410"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w:t>
            </w:r>
          </w:p>
        </w:tc>
      </w:tr>
      <w:tr w:rsidR="00A530B3" w:rsidTr="00A530B3">
        <w:tc>
          <w:tcPr>
            <w:tcW w:w="1384"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3</w:t>
            </w:r>
          </w:p>
        </w:tc>
        <w:tc>
          <w:tcPr>
            <w:tcW w:w="1701"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2023</w:t>
            </w:r>
          </w:p>
        </w:tc>
        <w:tc>
          <w:tcPr>
            <w:tcW w:w="2410"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5</w:t>
            </w:r>
          </w:p>
        </w:tc>
      </w:tr>
      <w:tr w:rsidR="00A530B3" w:rsidTr="00A530B3">
        <w:tc>
          <w:tcPr>
            <w:tcW w:w="1384"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4</w:t>
            </w:r>
          </w:p>
        </w:tc>
        <w:tc>
          <w:tcPr>
            <w:tcW w:w="1701"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2028</w:t>
            </w:r>
          </w:p>
        </w:tc>
        <w:tc>
          <w:tcPr>
            <w:tcW w:w="2410" w:type="dxa"/>
          </w:tcPr>
          <w:p w:rsidR="00A530B3" w:rsidRDefault="00A530B3" w:rsidP="00264C53">
            <w:pPr>
              <w:autoSpaceDE w:val="0"/>
              <w:autoSpaceDN w:val="0"/>
              <w:adjustRightInd w:val="0"/>
              <w:rPr>
                <w:rFonts w:ascii="Arial,Bold" w:hAnsi="Arial,Bold" w:cs="Arial,Bold"/>
                <w:b/>
                <w:bCs/>
              </w:rPr>
            </w:pPr>
            <w:r>
              <w:rPr>
                <w:rFonts w:ascii="Arial,Bold" w:hAnsi="Arial,Bold" w:cs="Arial,Bold"/>
                <w:b/>
                <w:bCs/>
              </w:rPr>
              <w:t>2</w:t>
            </w:r>
          </w:p>
        </w:tc>
      </w:tr>
    </w:tbl>
    <w:p w:rsidR="00A530B3" w:rsidRDefault="00A530B3" w:rsidP="00264C53">
      <w:pPr>
        <w:autoSpaceDE w:val="0"/>
        <w:autoSpaceDN w:val="0"/>
        <w:adjustRightInd w:val="0"/>
        <w:rPr>
          <w:rFonts w:ascii="Arial,Bold" w:hAnsi="Arial,Bold" w:cs="Arial,Bold"/>
          <w:b/>
          <w:bCs/>
        </w:rPr>
      </w:pPr>
    </w:p>
    <w:p w:rsidR="00BD7AE7" w:rsidRDefault="00BD7AE7" w:rsidP="00264C53">
      <w:pPr>
        <w:autoSpaceDE w:val="0"/>
        <w:autoSpaceDN w:val="0"/>
        <w:adjustRightInd w:val="0"/>
        <w:rPr>
          <w:rFonts w:ascii="Arial,Bold" w:hAnsi="Arial,Bold" w:cs="Arial,Bold"/>
          <w:b/>
          <w:bCs/>
        </w:rPr>
      </w:pPr>
      <w:r>
        <w:rPr>
          <w:rFonts w:ascii="Arial,Bold" w:hAnsi="Arial,Bold" w:cs="Arial,Bold"/>
          <w:b/>
          <w:bCs/>
        </w:rPr>
        <w:t>==========================================================================</w:t>
      </w:r>
    </w:p>
    <w:p w:rsidR="00BD7AE7" w:rsidRPr="00CA088E" w:rsidRDefault="00BD7AE7" w:rsidP="00BD7AE7">
      <w:pPr>
        <w:rPr>
          <w:rFonts w:ascii="Arial Black" w:hAnsi="Arial Black"/>
          <w:b/>
        </w:rPr>
      </w:pPr>
      <w:r w:rsidRPr="00CA088E">
        <w:rPr>
          <w:rFonts w:ascii="Arial Black" w:hAnsi="Arial Black"/>
          <w:b/>
        </w:rPr>
        <w:t xml:space="preserve">KCC Minerals &amp; Waste Local Plan </w:t>
      </w:r>
    </w:p>
    <w:p w:rsidR="00BD7AE7" w:rsidRPr="00CA088E" w:rsidRDefault="00CA088E" w:rsidP="00BD7AE7">
      <w:pPr>
        <w:rPr>
          <w:rFonts w:cstheme="minorHAnsi"/>
        </w:rPr>
      </w:pPr>
      <w:r w:rsidRPr="00CA088E">
        <w:rPr>
          <w:rFonts w:cstheme="minorHAnsi"/>
        </w:rPr>
        <w:t>SOURCE</w:t>
      </w:r>
      <w:r w:rsidRPr="00CA088E">
        <w:rPr>
          <w:rFonts w:ascii="Arial Black" w:hAnsi="Arial Black"/>
          <w:b/>
        </w:rPr>
        <w:t xml:space="preserve"> </w:t>
      </w:r>
      <w:r>
        <w:rPr>
          <w:rFonts w:ascii="Arial Black" w:hAnsi="Arial Black"/>
          <w:b/>
        </w:rPr>
        <w:t xml:space="preserve">       </w:t>
      </w:r>
      <w:r w:rsidR="00BD7AE7">
        <w:t>KCCMWLPCS023-12.pdf</w:t>
      </w:r>
      <w:r>
        <w:t xml:space="preserve">                   </w:t>
      </w:r>
      <w:r w:rsidRPr="00CA088E">
        <w:rPr>
          <w:rFonts w:cstheme="minorHAnsi"/>
        </w:rPr>
        <w:t>Table 18 P39</w:t>
      </w:r>
    </w:p>
    <w:p w:rsidR="00BD7AE7" w:rsidRDefault="00BD7AE7" w:rsidP="00BD7AE7"/>
    <w:p w:rsidR="00BD7AE7" w:rsidRPr="00CA088E" w:rsidRDefault="00BD7AE7" w:rsidP="00CA088E">
      <w:pPr>
        <w:autoSpaceDE w:val="0"/>
        <w:autoSpaceDN w:val="0"/>
        <w:adjustRightInd w:val="0"/>
        <w:rPr>
          <w:rFonts w:ascii="Arial-BoldMT" w:hAnsi="Arial-BoldMT" w:cs="Arial-BoldMT"/>
          <w:bCs/>
          <w:i/>
          <w:color w:val="000000"/>
          <w:sz w:val="24"/>
          <w:szCs w:val="24"/>
        </w:rPr>
      </w:pPr>
      <w:r w:rsidRPr="00CA088E">
        <w:rPr>
          <w:rFonts w:ascii="Arial-BoldMT" w:hAnsi="Arial-BoldMT" w:cs="Arial-BoldMT"/>
          <w:bCs/>
          <w:i/>
          <w:color w:val="000000"/>
          <w:sz w:val="24"/>
          <w:szCs w:val="24"/>
        </w:rPr>
        <w:t xml:space="preserve">Table 18 - </w:t>
      </w:r>
      <w:proofErr w:type="spellStart"/>
      <w:r w:rsidRPr="00CA088E">
        <w:rPr>
          <w:rFonts w:ascii="Arial-BoldMT" w:hAnsi="Arial-BoldMT" w:cs="Arial-BoldMT"/>
          <w:bCs/>
          <w:i/>
          <w:color w:val="000000"/>
          <w:sz w:val="24"/>
          <w:szCs w:val="24"/>
        </w:rPr>
        <w:t>Landbank</w:t>
      </w:r>
      <w:proofErr w:type="spellEnd"/>
      <w:r w:rsidRPr="00CA088E">
        <w:rPr>
          <w:rFonts w:ascii="Arial-BoldMT" w:hAnsi="Arial-BoldMT" w:cs="Arial-BoldMT"/>
          <w:bCs/>
          <w:i/>
          <w:color w:val="000000"/>
          <w:sz w:val="24"/>
          <w:szCs w:val="24"/>
        </w:rPr>
        <w:t xml:space="preserve"> Calculations for Land-won Sand and Gravel for the Plan Period</w:t>
      </w:r>
    </w:p>
    <w:tbl>
      <w:tblPr>
        <w:tblStyle w:val="TableGrid"/>
        <w:tblW w:w="0" w:type="auto"/>
        <w:tblLook w:val="04A0"/>
      </w:tblPr>
      <w:tblGrid>
        <w:gridCol w:w="959"/>
        <w:gridCol w:w="2551"/>
        <w:gridCol w:w="2898"/>
        <w:gridCol w:w="2137"/>
        <w:gridCol w:w="2137"/>
      </w:tblGrid>
      <w:tr w:rsidR="00BD7AE7" w:rsidTr="003C38F9">
        <w:tc>
          <w:tcPr>
            <w:tcW w:w="959" w:type="dxa"/>
          </w:tcPr>
          <w:p w:rsidR="00BD7AE7" w:rsidRDefault="00BD7AE7" w:rsidP="003C38F9">
            <w:r>
              <w:t>YEAR</w:t>
            </w:r>
          </w:p>
        </w:tc>
        <w:tc>
          <w:tcPr>
            <w:tcW w:w="2551" w:type="dxa"/>
          </w:tcPr>
          <w:p w:rsidR="00BD7AE7" w:rsidRDefault="00BD7AE7" w:rsidP="003C38F9">
            <w:r>
              <w:t>RESERVES at Start of Year (</w:t>
            </w:r>
            <w:proofErr w:type="spellStart"/>
            <w:r>
              <w:t>mt</w:t>
            </w:r>
            <w:proofErr w:type="spellEnd"/>
            <w:r>
              <w:t>)</w:t>
            </w:r>
          </w:p>
        </w:tc>
        <w:tc>
          <w:tcPr>
            <w:tcW w:w="2898" w:type="dxa"/>
          </w:tcPr>
          <w:p w:rsidR="00BD7AE7" w:rsidRDefault="00BD7AE7" w:rsidP="003C38F9">
            <w:r>
              <w:t>DRAWDOWN during Year (</w:t>
            </w:r>
            <w:proofErr w:type="spellStart"/>
            <w:r>
              <w:t>mt</w:t>
            </w:r>
            <w:proofErr w:type="spellEnd"/>
            <w:r>
              <w:t>)</w:t>
            </w:r>
          </w:p>
        </w:tc>
        <w:tc>
          <w:tcPr>
            <w:tcW w:w="2137" w:type="dxa"/>
          </w:tcPr>
          <w:p w:rsidR="00BD7AE7" w:rsidRDefault="00BD7AE7" w:rsidP="003C38F9">
            <w:r>
              <w:t>RESERVES at YEAREND</w:t>
            </w:r>
          </w:p>
        </w:tc>
        <w:tc>
          <w:tcPr>
            <w:tcW w:w="2137" w:type="dxa"/>
          </w:tcPr>
          <w:p w:rsidR="00BD7AE7" w:rsidRDefault="00BD7AE7" w:rsidP="003C38F9">
            <w:r>
              <w:t xml:space="preserve">RESERVES Required for 7 year </w:t>
            </w:r>
            <w:proofErr w:type="spellStart"/>
            <w:r>
              <w:t>Landbank</w:t>
            </w:r>
            <w:proofErr w:type="spellEnd"/>
          </w:p>
        </w:tc>
      </w:tr>
      <w:tr w:rsidR="00BD7AE7" w:rsidTr="003C38F9">
        <w:tc>
          <w:tcPr>
            <w:tcW w:w="959" w:type="dxa"/>
          </w:tcPr>
          <w:p w:rsidR="00BD7AE7" w:rsidRDefault="00BD7AE7" w:rsidP="003C38F9">
            <w:r>
              <w:t>2012</w:t>
            </w:r>
          </w:p>
        </w:tc>
        <w:tc>
          <w:tcPr>
            <w:tcW w:w="2551" w:type="dxa"/>
          </w:tcPr>
          <w:p w:rsidR="00BD7AE7" w:rsidRDefault="00BD7AE7" w:rsidP="003C38F9">
            <w:pPr>
              <w:jc w:val="right"/>
            </w:pPr>
            <w:r>
              <w:t>18.674</w:t>
            </w:r>
          </w:p>
        </w:tc>
        <w:tc>
          <w:tcPr>
            <w:tcW w:w="2898" w:type="dxa"/>
          </w:tcPr>
          <w:p w:rsidR="00BD7AE7" w:rsidRDefault="00BD7AE7" w:rsidP="003C38F9">
            <w:pPr>
              <w:jc w:val="right"/>
            </w:pPr>
            <w:r>
              <w:t>1.603</w:t>
            </w:r>
          </w:p>
        </w:tc>
        <w:tc>
          <w:tcPr>
            <w:tcW w:w="2137" w:type="dxa"/>
          </w:tcPr>
          <w:p w:rsidR="00BD7AE7" w:rsidRDefault="00BD7AE7" w:rsidP="003C38F9">
            <w:pPr>
              <w:jc w:val="right"/>
            </w:pPr>
            <w:r>
              <w:t>17.071</w:t>
            </w:r>
          </w:p>
        </w:tc>
        <w:tc>
          <w:tcPr>
            <w:tcW w:w="2137" w:type="dxa"/>
          </w:tcPr>
          <w:p w:rsidR="00BD7AE7" w:rsidRDefault="00BD7AE7" w:rsidP="003C38F9">
            <w:pPr>
              <w:jc w:val="right"/>
            </w:pPr>
            <w:r>
              <w:t>0.00</w:t>
            </w:r>
          </w:p>
        </w:tc>
      </w:tr>
      <w:tr w:rsidR="00BD7AE7" w:rsidTr="003C38F9">
        <w:tc>
          <w:tcPr>
            <w:tcW w:w="959" w:type="dxa"/>
          </w:tcPr>
          <w:p w:rsidR="00BD7AE7" w:rsidRDefault="00BD7AE7" w:rsidP="003C38F9">
            <w:r>
              <w:t>2013</w:t>
            </w:r>
          </w:p>
        </w:tc>
        <w:tc>
          <w:tcPr>
            <w:tcW w:w="2551" w:type="dxa"/>
          </w:tcPr>
          <w:p w:rsidR="00BD7AE7" w:rsidRDefault="00BD7AE7" w:rsidP="003C38F9">
            <w:pPr>
              <w:jc w:val="right"/>
            </w:pPr>
            <w:r>
              <w:t>17.017</w:t>
            </w:r>
          </w:p>
        </w:tc>
        <w:tc>
          <w:tcPr>
            <w:tcW w:w="2898" w:type="dxa"/>
          </w:tcPr>
          <w:p w:rsidR="00BD7AE7" w:rsidRDefault="00BD7AE7" w:rsidP="003C38F9">
            <w:pPr>
              <w:jc w:val="right"/>
            </w:pPr>
            <w:r>
              <w:t>1.603</w:t>
            </w:r>
          </w:p>
        </w:tc>
        <w:tc>
          <w:tcPr>
            <w:tcW w:w="2137" w:type="dxa"/>
          </w:tcPr>
          <w:p w:rsidR="00BD7AE7" w:rsidRDefault="00BD7AE7" w:rsidP="003C38F9">
            <w:pPr>
              <w:jc w:val="right"/>
            </w:pPr>
            <w:r>
              <w:t>15.486</w:t>
            </w:r>
          </w:p>
        </w:tc>
        <w:tc>
          <w:tcPr>
            <w:tcW w:w="2137" w:type="dxa"/>
          </w:tcPr>
          <w:p w:rsidR="00BD7AE7" w:rsidRDefault="00BD7AE7" w:rsidP="003C38F9">
            <w:pPr>
              <w:jc w:val="right"/>
            </w:pPr>
            <w:r>
              <w:t>0.00</w:t>
            </w:r>
          </w:p>
        </w:tc>
      </w:tr>
      <w:tr w:rsidR="00BD7AE7" w:rsidTr="003C38F9">
        <w:tc>
          <w:tcPr>
            <w:tcW w:w="959" w:type="dxa"/>
          </w:tcPr>
          <w:p w:rsidR="00BD7AE7" w:rsidRDefault="00BD7AE7" w:rsidP="003C38F9">
            <w:r>
              <w:t>2014</w:t>
            </w:r>
          </w:p>
        </w:tc>
        <w:tc>
          <w:tcPr>
            <w:tcW w:w="2551" w:type="dxa"/>
          </w:tcPr>
          <w:p w:rsidR="00BD7AE7" w:rsidRDefault="00BD7AE7" w:rsidP="003C38F9">
            <w:pPr>
              <w:jc w:val="right"/>
            </w:pPr>
            <w:r>
              <w:t>15.468</w:t>
            </w:r>
          </w:p>
        </w:tc>
        <w:tc>
          <w:tcPr>
            <w:tcW w:w="2898" w:type="dxa"/>
          </w:tcPr>
          <w:p w:rsidR="00BD7AE7" w:rsidRDefault="00BD7AE7" w:rsidP="003C38F9">
            <w:pPr>
              <w:jc w:val="right"/>
            </w:pPr>
            <w:r>
              <w:t>1.603</w:t>
            </w:r>
          </w:p>
        </w:tc>
        <w:tc>
          <w:tcPr>
            <w:tcW w:w="2137" w:type="dxa"/>
          </w:tcPr>
          <w:p w:rsidR="00BD7AE7" w:rsidRDefault="00BD7AE7" w:rsidP="003C38F9">
            <w:pPr>
              <w:jc w:val="right"/>
            </w:pPr>
            <w:r>
              <w:t>13.865</w:t>
            </w:r>
          </w:p>
        </w:tc>
        <w:tc>
          <w:tcPr>
            <w:tcW w:w="2137" w:type="dxa"/>
          </w:tcPr>
          <w:p w:rsidR="00BD7AE7" w:rsidRDefault="00BD7AE7" w:rsidP="003C38F9">
            <w:pPr>
              <w:jc w:val="right"/>
            </w:pPr>
            <w:r>
              <w:t>0.00</w:t>
            </w:r>
          </w:p>
        </w:tc>
      </w:tr>
      <w:tr w:rsidR="00BD7AE7" w:rsidTr="003C38F9">
        <w:tc>
          <w:tcPr>
            <w:tcW w:w="959" w:type="dxa"/>
          </w:tcPr>
          <w:p w:rsidR="00BD7AE7" w:rsidRDefault="00BD7AE7" w:rsidP="003C38F9">
            <w:r>
              <w:t>2015</w:t>
            </w:r>
          </w:p>
        </w:tc>
        <w:tc>
          <w:tcPr>
            <w:tcW w:w="2551" w:type="dxa"/>
          </w:tcPr>
          <w:p w:rsidR="00BD7AE7" w:rsidRDefault="00BD7AE7" w:rsidP="003C38F9">
            <w:pPr>
              <w:jc w:val="right"/>
            </w:pPr>
            <w:r>
              <w:t>13.865</w:t>
            </w:r>
          </w:p>
        </w:tc>
        <w:tc>
          <w:tcPr>
            <w:tcW w:w="2898" w:type="dxa"/>
          </w:tcPr>
          <w:p w:rsidR="00BD7AE7" w:rsidRDefault="00BD7AE7" w:rsidP="003C38F9">
            <w:pPr>
              <w:jc w:val="right"/>
            </w:pPr>
            <w:r>
              <w:t>1.603</w:t>
            </w:r>
          </w:p>
        </w:tc>
        <w:tc>
          <w:tcPr>
            <w:tcW w:w="2137" w:type="dxa"/>
          </w:tcPr>
          <w:p w:rsidR="00BD7AE7" w:rsidRDefault="00BD7AE7" w:rsidP="003C38F9">
            <w:pPr>
              <w:jc w:val="right"/>
            </w:pPr>
            <w:r>
              <w:t>12.262</w:t>
            </w:r>
          </w:p>
        </w:tc>
        <w:tc>
          <w:tcPr>
            <w:tcW w:w="2137" w:type="dxa"/>
          </w:tcPr>
          <w:p w:rsidR="00BD7AE7" w:rsidRDefault="00BD7AE7" w:rsidP="003C38F9">
            <w:pPr>
              <w:jc w:val="right"/>
            </w:pPr>
            <w:r>
              <w:t>0.00</w:t>
            </w:r>
          </w:p>
        </w:tc>
      </w:tr>
      <w:tr w:rsidR="00BD7AE7" w:rsidTr="003C38F9">
        <w:tc>
          <w:tcPr>
            <w:tcW w:w="959" w:type="dxa"/>
          </w:tcPr>
          <w:p w:rsidR="00BD7AE7" w:rsidRDefault="00BD7AE7" w:rsidP="003C38F9">
            <w:r>
              <w:t>2016</w:t>
            </w:r>
          </w:p>
        </w:tc>
        <w:tc>
          <w:tcPr>
            <w:tcW w:w="2551" w:type="dxa"/>
          </w:tcPr>
          <w:p w:rsidR="00BD7AE7" w:rsidRDefault="00BD7AE7" w:rsidP="003C38F9">
            <w:pPr>
              <w:jc w:val="right"/>
            </w:pPr>
            <w:r>
              <w:t>12.262</w:t>
            </w:r>
          </w:p>
        </w:tc>
        <w:tc>
          <w:tcPr>
            <w:tcW w:w="2898" w:type="dxa"/>
          </w:tcPr>
          <w:p w:rsidR="00BD7AE7" w:rsidRDefault="00BD7AE7" w:rsidP="003C38F9">
            <w:pPr>
              <w:jc w:val="right"/>
            </w:pPr>
            <w:r>
              <w:t>1.603</w:t>
            </w:r>
          </w:p>
        </w:tc>
        <w:tc>
          <w:tcPr>
            <w:tcW w:w="2137" w:type="dxa"/>
          </w:tcPr>
          <w:p w:rsidR="00BD7AE7" w:rsidRDefault="00BD7AE7" w:rsidP="003C38F9">
            <w:pPr>
              <w:jc w:val="right"/>
            </w:pPr>
            <w:r>
              <w:t>10.659</w:t>
            </w:r>
          </w:p>
        </w:tc>
        <w:tc>
          <w:tcPr>
            <w:tcW w:w="2137" w:type="dxa"/>
          </w:tcPr>
          <w:p w:rsidR="00BD7AE7" w:rsidRDefault="00BD7AE7" w:rsidP="003C38F9">
            <w:pPr>
              <w:jc w:val="right"/>
            </w:pPr>
            <w:r>
              <w:t>0.561</w:t>
            </w:r>
          </w:p>
        </w:tc>
      </w:tr>
      <w:tr w:rsidR="00BD7AE7" w:rsidTr="003C38F9">
        <w:tc>
          <w:tcPr>
            <w:tcW w:w="959" w:type="dxa"/>
          </w:tcPr>
          <w:p w:rsidR="00BD7AE7" w:rsidRDefault="00BD7AE7" w:rsidP="003C38F9">
            <w:r>
              <w:t>2017</w:t>
            </w:r>
          </w:p>
        </w:tc>
        <w:tc>
          <w:tcPr>
            <w:tcW w:w="2551" w:type="dxa"/>
          </w:tcPr>
          <w:p w:rsidR="00BD7AE7" w:rsidRDefault="00BD7AE7" w:rsidP="003C38F9">
            <w:pPr>
              <w:jc w:val="right"/>
            </w:pPr>
            <w:r>
              <w:t>10.659</w:t>
            </w:r>
          </w:p>
        </w:tc>
        <w:tc>
          <w:tcPr>
            <w:tcW w:w="2898" w:type="dxa"/>
          </w:tcPr>
          <w:p w:rsidR="00BD7AE7" w:rsidRDefault="00BD7AE7" w:rsidP="003C38F9">
            <w:pPr>
              <w:jc w:val="right"/>
            </w:pPr>
            <w:r>
              <w:t>1.603</w:t>
            </w:r>
          </w:p>
        </w:tc>
        <w:tc>
          <w:tcPr>
            <w:tcW w:w="2137" w:type="dxa"/>
          </w:tcPr>
          <w:p w:rsidR="00BD7AE7" w:rsidRDefault="00BD7AE7" w:rsidP="003C38F9">
            <w:pPr>
              <w:jc w:val="right"/>
            </w:pPr>
            <w:r>
              <w:t>9.056</w:t>
            </w:r>
          </w:p>
        </w:tc>
        <w:tc>
          <w:tcPr>
            <w:tcW w:w="2137" w:type="dxa"/>
          </w:tcPr>
          <w:p w:rsidR="00BD7AE7" w:rsidRDefault="00BD7AE7" w:rsidP="003C38F9">
            <w:pPr>
              <w:jc w:val="right"/>
            </w:pPr>
            <w:r>
              <w:t>2.164</w:t>
            </w:r>
          </w:p>
        </w:tc>
      </w:tr>
      <w:tr w:rsidR="00BD7AE7" w:rsidTr="003C38F9">
        <w:tc>
          <w:tcPr>
            <w:tcW w:w="959" w:type="dxa"/>
          </w:tcPr>
          <w:p w:rsidR="00BD7AE7" w:rsidRDefault="00BD7AE7" w:rsidP="003C38F9">
            <w:r>
              <w:t>2018</w:t>
            </w:r>
          </w:p>
        </w:tc>
        <w:tc>
          <w:tcPr>
            <w:tcW w:w="2551" w:type="dxa"/>
          </w:tcPr>
          <w:p w:rsidR="00BD7AE7" w:rsidRDefault="00BD7AE7" w:rsidP="003C38F9">
            <w:pPr>
              <w:jc w:val="right"/>
            </w:pPr>
            <w:r>
              <w:t>9.056</w:t>
            </w:r>
          </w:p>
        </w:tc>
        <w:tc>
          <w:tcPr>
            <w:tcW w:w="2898" w:type="dxa"/>
          </w:tcPr>
          <w:p w:rsidR="00BD7AE7" w:rsidRDefault="00BD7AE7" w:rsidP="003C38F9">
            <w:pPr>
              <w:jc w:val="right"/>
            </w:pPr>
            <w:r>
              <w:t>1.603</w:t>
            </w:r>
          </w:p>
        </w:tc>
        <w:tc>
          <w:tcPr>
            <w:tcW w:w="2137" w:type="dxa"/>
          </w:tcPr>
          <w:p w:rsidR="00BD7AE7" w:rsidRDefault="00BD7AE7" w:rsidP="003C38F9">
            <w:pPr>
              <w:jc w:val="right"/>
            </w:pPr>
            <w:r>
              <w:t>7.453</w:t>
            </w:r>
          </w:p>
        </w:tc>
        <w:tc>
          <w:tcPr>
            <w:tcW w:w="2137" w:type="dxa"/>
          </w:tcPr>
          <w:p w:rsidR="00BD7AE7" w:rsidRDefault="00BD7AE7" w:rsidP="003C38F9">
            <w:pPr>
              <w:jc w:val="right"/>
            </w:pPr>
            <w:r>
              <w:t>3.767</w:t>
            </w:r>
          </w:p>
        </w:tc>
      </w:tr>
      <w:tr w:rsidR="00BD7AE7" w:rsidTr="003C38F9">
        <w:tc>
          <w:tcPr>
            <w:tcW w:w="959" w:type="dxa"/>
          </w:tcPr>
          <w:p w:rsidR="00BD7AE7" w:rsidRDefault="00BD7AE7" w:rsidP="003C38F9">
            <w:r>
              <w:t>2019</w:t>
            </w:r>
          </w:p>
        </w:tc>
        <w:tc>
          <w:tcPr>
            <w:tcW w:w="2551" w:type="dxa"/>
          </w:tcPr>
          <w:p w:rsidR="00BD7AE7" w:rsidRDefault="00BD7AE7" w:rsidP="003C38F9">
            <w:pPr>
              <w:jc w:val="right"/>
            </w:pPr>
            <w:r>
              <w:t>7.453</w:t>
            </w:r>
          </w:p>
        </w:tc>
        <w:tc>
          <w:tcPr>
            <w:tcW w:w="2898" w:type="dxa"/>
          </w:tcPr>
          <w:p w:rsidR="00BD7AE7" w:rsidRDefault="00BD7AE7" w:rsidP="003C38F9">
            <w:pPr>
              <w:jc w:val="right"/>
            </w:pPr>
            <w:r>
              <w:t>1.603</w:t>
            </w:r>
          </w:p>
        </w:tc>
        <w:tc>
          <w:tcPr>
            <w:tcW w:w="2137" w:type="dxa"/>
          </w:tcPr>
          <w:p w:rsidR="00BD7AE7" w:rsidRDefault="00BD7AE7" w:rsidP="003C38F9">
            <w:pPr>
              <w:jc w:val="right"/>
            </w:pPr>
            <w:r>
              <w:t>5.850</w:t>
            </w:r>
          </w:p>
        </w:tc>
        <w:tc>
          <w:tcPr>
            <w:tcW w:w="2137" w:type="dxa"/>
          </w:tcPr>
          <w:p w:rsidR="00BD7AE7" w:rsidRDefault="00BD7AE7" w:rsidP="003C38F9">
            <w:pPr>
              <w:jc w:val="right"/>
            </w:pPr>
            <w:r>
              <w:t>5.370</w:t>
            </w:r>
          </w:p>
        </w:tc>
      </w:tr>
      <w:tr w:rsidR="00BD7AE7" w:rsidTr="003C38F9">
        <w:tc>
          <w:tcPr>
            <w:tcW w:w="959" w:type="dxa"/>
          </w:tcPr>
          <w:p w:rsidR="00BD7AE7" w:rsidRDefault="00BD7AE7" w:rsidP="003C38F9">
            <w:r>
              <w:t>2020</w:t>
            </w:r>
          </w:p>
        </w:tc>
        <w:tc>
          <w:tcPr>
            <w:tcW w:w="2551" w:type="dxa"/>
          </w:tcPr>
          <w:p w:rsidR="00BD7AE7" w:rsidRDefault="00BD7AE7" w:rsidP="003C38F9">
            <w:pPr>
              <w:jc w:val="right"/>
            </w:pPr>
            <w:r>
              <w:t>5.850</w:t>
            </w:r>
          </w:p>
        </w:tc>
        <w:tc>
          <w:tcPr>
            <w:tcW w:w="2898" w:type="dxa"/>
          </w:tcPr>
          <w:p w:rsidR="00BD7AE7" w:rsidRDefault="00BD7AE7" w:rsidP="003C38F9">
            <w:pPr>
              <w:jc w:val="right"/>
            </w:pPr>
            <w:r>
              <w:t>1.603</w:t>
            </w:r>
          </w:p>
        </w:tc>
        <w:tc>
          <w:tcPr>
            <w:tcW w:w="2137" w:type="dxa"/>
          </w:tcPr>
          <w:p w:rsidR="00BD7AE7" w:rsidRDefault="00BD7AE7" w:rsidP="003C38F9">
            <w:pPr>
              <w:jc w:val="right"/>
            </w:pPr>
            <w:r>
              <w:t>4.247</w:t>
            </w:r>
          </w:p>
        </w:tc>
        <w:tc>
          <w:tcPr>
            <w:tcW w:w="2137" w:type="dxa"/>
          </w:tcPr>
          <w:p w:rsidR="00BD7AE7" w:rsidRDefault="00BD7AE7" w:rsidP="003C38F9">
            <w:pPr>
              <w:jc w:val="right"/>
            </w:pPr>
            <w:r>
              <w:t>6.973</w:t>
            </w:r>
          </w:p>
        </w:tc>
      </w:tr>
      <w:tr w:rsidR="00BD7AE7" w:rsidTr="003C38F9">
        <w:tc>
          <w:tcPr>
            <w:tcW w:w="959" w:type="dxa"/>
          </w:tcPr>
          <w:p w:rsidR="00BD7AE7" w:rsidRDefault="00BD7AE7" w:rsidP="003C38F9">
            <w:r>
              <w:t>2021</w:t>
            </w:r>
          </w:p>
        </w:tc>
        <w:tc>
          <w:tcPr>
            <w:tcW w:w="2551" w:type="dxa"/>
          </w:tcPr>
          <w:p w:rsidR="00BD7AE7" w:rsidRDefault="00BD7AE7" w:rsidP="003C38F9">
            <w:pPr>
              <w:jc w:val="right"/>
            </w:pPr>
            <w:r>
              <w:t>4.247</w:t>
            </w:r>
          </w:p>
        </w:tc>
        <w:tc>
          <w:tcPr>
            <w:tcW w:w="2898" w:type="dxa"/>
          </w:tcPr>
          <w:p w:rsidR="00BD7AE7" w:rsidRDefault="00BD7AE7" w:rsidP="003C38F9">
            <w:pPr>
              <w:jc w:val="right"/>
            </w:pPr>
            <w:r>
              <w:t>1.603</w:t>
            </w:r>
          </w:p>
        </w:tc>
        <w:tc>
          <w:tcPr>
            <w:tcW w:w="2137" w:type="dxa"/>
          </w:tcPr>
          <w:p w:rsidR="00BD7AE7" w:rsidRDefault="00BD7AE7" w:rsidP="003C38F9">
            <w:pPr>
              <w:jc w:val="right"/>
            </w:pPr>
            <w:r>
              <w:t>2.644</w:t>
            </w:r>
          </w:p>
        </w:tc>
        <w:tc>
          <w:tcPr>
            <w:tcW w:w="2137" w:type="dxa"/>
          </w:tcPr>
          <w:p w:rsidR="00BD7AE7" w:rsidRDefault="00BD7AE7" w:rsidP="003C38F9">
            <w:pPr>
              <w:jc w:val="right"/>
            </w:pPr>
            <w:r>
              <w:t>8.576</w:t>
            </w:r>
          </w:p>
        </w:tc>
      </w:tr>
      <w:tr w:rsidR="00BD7AE7" w:rsidTr="003C38F9">
        <w:tc>
          <w:tcPr>
            <w:tcW w:w="959" w:type="dxa"/>
          </w:tcPr>
          <w:p w:rsidR="00BD7AE7" w:rsidRDefault="00BD7AE7" w:rsidP="003C38F9">
            <w:r>
              <w:t>2022</w:t>
            </w:r>
          </w:p>
        </w:tc>
        <w:tc>
          <w:tcPr>
            <w:tcW w:w="2551" w:type="dxa"/>
          </w:tcPr>
          <w:p w:rsidR="00BD7AE7" w:rsidRDefault="00BD7AE7" w:rsidP="003C38F9">
            <w:pPr>
              <w:jc w:val="right"/>
            </w:pPr>
            <w:r>
              <w:t>2.644</w:t>
            </w:r>
          </w:p>
        </w:tc>
        <w:tc>
          <w:tcPr>
            <w:tcW w:w="2898" w:type="dxa"/>
          </w:tcPr>
          <w:p w:rsidR="00BD7AE7" w:rsidRDefault="00BD7AE7" w:rsidP="003C38F9">
            <w:pPr>
              <w:jc w:val="right"/>
            </w:pPr>
            <w:r>
              <w:t>1.603</w:t>
            </w:r>
          </w:p>
        </w:tc>
        <w:tc>
          <w:tcPr>
            <w:tcW w:w="2137" w:type="dxa"/>
          </w:tcPr>
          <w:p w:rsidR="00BD7AE7" w:rsidRDefault="00BD7AE7" w:rsidP="003C38F9">
            <w:pPr>
              <w:jc w:val="right"/>
            </w:pPr>
            <w:r>
              <w:t>1.041</w:t>
            </w:r>
          </w:p>
        </w:tc>
        <w:tc>
          <w:tcPr>
            <w:tcW w:w="2137" w:type="dxa"/>
          </w:tcPr>
          <w:p w:rsidR="00BD7AE7" w:rsidRDefault="00BD7AE7" w:rsidP="003C38F9">
            <w:pPr>
              <w:jc w:val="right"/>
            </w:pPr>
            <w:r>
              <w:t>10.179</w:t>
            </w:r>
          </w:p>
        </w:tc>
      </w:tr>
      <w:tr w:rsidR="00BD7AE7" w:rsidTr="003C38F9">
        <w:tc>
          <w:tcPr>
            <w:tcW w:w="959" w:type="dxa"/>
          </w:tcPr>
          <w:p w:rsidR="00BD7AE7" w:rsidRDefault="00BD7AE7" w:rsidP="003C38F9">
            <w:r>
              <w:t>2023</w:t>
            </w:r>
          </w:p>
        </w:tc>
        <w:tc>
          <w:tcPr>
            <w:tcW w:w="2551" w:type="dxa"/>
          </w:tcPr>
          <w:p w:rsidR="00BD7AE7" w:rsidRDefault="00BD7AE7" w:rsidP="003C38F9">
            <w:pPr>
              <w:jc w:val="right"/>
            </w:pPr>
            <w:r>
              <w:t>1.041</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-0.562</w:t>
            </w:r>
          </w:p>
        </w:tc>
        <w:tc>
          <w:tcPr>
            <w:tcW w:w="2137" w:type="dxa"/>
          </w:tcPr>
          <w:p w:rsidR="00BD7AE7" w:rsidRDefault="00BD7AE7" w:rsidP="003C38F9">
            <w:pPr>
              <w:jc w:val="right"/>
            </w:pPr>
            <w:r>
              <w:t>11.782</w:t>
            </w:r>
          </w:p>
        </w:tc>
      </w:tr>
      <w:tr w:rsidR="00BD7AE7" w:rsidTr="003C38F9">
        <w:tc>
          <w:tcPr>
            <w:tcW w:w="959" w:type="dxa"/>
          </w:tcPr>
          <w:p w:rsidR="00BD7AE7" w:rsidRDefault="00BD7AE7" w:rsidP="003C38F9">
            <w:r>
              <w:t>2024</w:t>
            </w:r>
          </w:p>
        </w:tc>
        <w:tc>
          <w:tcPr>
            <w:tcW w:w="2551" w:type="dxa"/>
          </w:tcPr>
          <w:p w:rsidR="00BD7AE7" w:rsidRPr="00BD7AE7" w:rsidRDefault="00BD7AE7" w:rsidP="003C38F9">
            <w:pPr>
              <w:jc w:val="right"/>
              <w:rPr>
                <w:b/>
                <w:color w:val="FF0000"/>
              </w:rPr>
            </w:pPr>
            <w:r w:rsidRPr="00BD7AE7">
              <w:rPr>
                <w:b/>
                <w:color w:val="FF0000"/>
              </w:rPr>
              <w:t>-0.562</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-2.165</w:t>
            </w:r>
          </w:p>
        </w:tc>
        <w:tc>
          <w:tcPr>
            <w:tcW w:w="2137" w:type="dxa"/>
          </w:tcPr>
          <w:p w:rsidR="00BD7AE7" w:rsidRDefault="00BD7AE7" w:rsidP="003C38F9">
            <w:pPr>
              <w:jc w:val="right"/>
            </w:pPr>
            <w:r>
              <w:t>13.385</w:t>
            </w:r>
          </w:p>
        </w:tc>
      </w:tr>
      <w:tr w:rsidR="00BD7AE7" w:rsidTr="003C38F9">
        <w:tc>
          <w:tcPr>
            <w:tcW w:w="959" w:type="dxa"/>
          </w:tcPr>
          <w:p w:rsidR="00BD7AE7" w:rsidRDefault="00BD7AE7" w:rsidP="003C38F9">
            <w:r>
              <w:t>2025</w:t>
            </w:r>
          </w:p>
        </w:tc>
        <w:tc>
          <w:tcPr>
            <w:tcW w:w="2551" w:type="dxa"/>
          </w:tcPr>
          <w:p w:rsidR="00BD7AE7" w:rsidRPr="00BD7AE7" w:rsidRDefault="00BD7AE7" w:rsidP="003C38F9">
            <w:pPr>
              <w:jc w:val="right"/>
              <w:rPr>
                <w:b/>
                <w:color w:val="FF0000"/>
              </w:rPr>
            </w:pPr>
            <w:r w:rsidRPr="00BD7AE7">
              <w:rPr>
                <w:b/>
                <w:color w:val="FF0000"/>
              </w:rPr>
              <w:t>-2.165</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-3.768</w:t>
            </w:r>
          </w:p>
        </w:tc>
        <w:tc>
          <w:tcPr>
            <w:tcW w:w="2137" w:type="dxa"/>
          </w:tcPr>
          <w:p w:rsidR="00BD7AE7" w:rsidRDefault="00BD7AE7" w:rsidP="003C38F9">
            <w:pPr>
              <w:jc w:val="right"/>
            </w:pPr>
            <w:r>
              <w:t>14.988</w:t>
            </w:r>
          </w:p>
        </w:tc>
      </w:tr>
      <w:tr w:rsidR="00BD7AE7" w:rsidTr="003C38F9">
        <w:tc>
          <w:tcPr>
            <w:tcW w:w="959" w:type="dxa"/>
          </w:tcPr>
          <w:p w:rsidR="00BD7AE7" w:rsidRDefault="00BD7AE7" w:rsidP="003C38F9">
            <w:r>
              <w:t>2026</w:t>
            </w:r>
          </w:p>
        </w:tc>
        <w:tc>
          <w:tcPr>
            <w:tcW w:w="2551" w:type="dxa"/>
          </w:tcPr>
          <w:p w:rsidR="00BD7AE7" w:rsidRPr="00BD7AE7" w:rsidRDefault="00BD7AE7" w:rsidP="003C38F9">
            <w:pPr>
              <w:jc w:val="right"/>
              <w:rPr>
                <w:b/>
                <w:color w:val="FF0000"/>
              </w:rPr>
            </w:pPr>
            <w:r w:rsidRPr="00BD7AE7">
              <w:rPr>
                <w:b/>
                <w:color w:val="FF0000"/>
              </w:rPr>
              <w:t>-3.768</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-5.371</w:t>
            </w:r>
          </w:p>
        </w:tc>
        <w:tc>
          <w:tcPr>
            <w:tcW w:w="2137" w:type="dxa"/>
          </w:tcPr>
          <w:p w:rsidR="00BD7AE7" w:rsidRDefault="00BD7AE7" w:rsidP="003C38F9">
            <w:pPr>
              <w:jc w:val="right"/>
            </w:pPr>
            <w:r>
              <w:t>16.591</w:t>
            </w:r>
          </w:p>
        </w:tc>
      </w:tr>
      <w:tr w:rsidR="00BD7AE7" w:rsidTr="003C38F9">
        <w:tc>
          <w:tcPr>
            <w:tcW w:w="959" w:type="dxa"/>
          </w:tcPr>
          <w:p w:rsidR="00BD7AE7" w:rsidRDefault="00BD7AE7" w:rsidP="003C38F9">
            <w:r>
              <w:t>2027</w:t>
            </w:r>
          </w:p>
        </w:tc>
        <w:tc>
          <w:tcPr>
            <w:tcW w:w="2551" w:type="dxa"/>
          </w:tcPr>
          <w:p w:rsidR="00BD7AE7" w:rsidRPr="00BD7AE7" w:rsidRDefault="00BD7AE7" w:rsidP="003C38F9">
            <w:pPr>
              <w:jc w:val="right"/>
              <w:rPr>
                <w:b/>
                <w:color w:val="FF0000"/>
              </w:rPr>
            </w:pPr>
            <w:r w:rsidRPr="00BD7AE7">
              <w:rPr>
                <w:b/>
                <w:color w:val="FF0000"/>
              </w:rPr>
              <w:t>-5.371</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-6.974</w:t>
            </w:r>
          </w:p>
        </w:tc>
        <w:tc>
          <w:tcPr>
            <w:tcW w:w="2137" w:type="dxa"/>
          </w:tcPr>
          <w:p w:rsidR="00BD7AE7" w:rsidRDefault="00BD7AE7" w:rsidP="003C38F9">
            <w:pPr>
              <w:jc w:val="right"/>
            </w:pPr>
            <w:r>
              <w:t>18.194</w:t>
            </w:r>
          </w:p>
        </w:tc>
      </w:tr>
      <w:tr w:rsidR="00BD7AE7" w:rsidTr="003C38F9">
        <w:tc>
          <w:tcPr>
            <w:tcW w:w="959" w:type="dxa"/>
          </w:tcPr>
          <w:p w:rsidR="00BD7AE7" w:rsidRDefault="00BD7AE7" w:rsidP="003C38F9">
            <w:r>
              <w:t>2028</w:t>
            </w:r>
          </w:p>
        </w:tc>
        <w:tc>
          <w:tcPr>
            <w:tcW w:w="2551" w:type="dxa"/>
          </w:tcPr>
          <w:p w:rsidR="00BD7AE7" w:rsidRPr="00BD7AE7" w:rsidRDefault="00BD7AE7" w:rsidP="003C38F9">
            <w:pPr>
              <w:jc w:val="right"/>
              <w:rPr>
                <w:b/>
                <w:color w:val="FF0000"/>
              </w:rPr>
            </w:pPr>
            <w:r w:rsidRPr="00BD7AE7">
              <w:rPr>
                <w:b/>
                <w:color w:val="FF0000"/>
              </w:rPr>
              <w:t>-6.974</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-8.577</w:t>
            </w:r>
          </w:p>
        </w:tc>
        <w:tc>
          <w:tcPr>
            <w:tcW w:w="2137" w:type="dxa"/>
          </w:tcPr>
          <w:p w:rsidR="00BD7AE7" w:rsidRDefault="00BD7AE7" w:rsidP="003C38F9">
            <w:pPr>
              <w:jc w:val="right"/>
            </w:pPr>
            <w:r>
              <w:t>19.797</w:t>
            </w:r>
          </w:p>
        </w:tc>
      </w:tr>
      <w:tr w:rsidR="00BD7AE7" w:rsidTr="003C38F9">
        <w:tc>
          <w:tcPr>
            <w:tcW w:w="959" w:type="dxa"/>
          </w:tcPr>
          <w:p w:rsidR="00BD7AE7" w:rsidRDefault="00BD7AE7" w:rsidP="003C38F9">
            <w:r>
              <w:t>2029</w:t>
            </w:r>
          </w:p>
        </w:tc>
        <w:tc>
          <w:tcPr>
            <w:tcW w:w="2551" w:type="dxa"/>
          </w:tcPr>
          <w:p w:rsidR="00BD7AE7" w:rsidRPr="00BD7AE7" w:rsidRDefault="00BD7AE7" w:rsidP="003C38F9">
            <w:pPr>
              <w:jc w:val="right"/>
              <w:rPr>
                <w:b/>
                <w:color w:val="FF0000"/>
              </w:rPr>
            </w:pPr>
            <w:r w:rsidRPr="00BD7AE7">
              <w:rPr>
                <w:b/>
                <w:color w:val="FF0000"/>
              </w:rPr>
              <w:t>-8.577</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-10.180</w:t>
            </w:r>
          </w:p>
        </w:tc>
        <w:tc>
          <w:tcPr>
            <w:tcW w:w="2137" w:type="dxa"/>
          </w:tcPr>
          <w:p w:rsidR="00BD7AE7" w:rsidRDefault="00BD7AE7" w:rsidP="003C38F9">
            <w:pPr>
              <w:jc w:val="right"/>
            </w:pPr>
            <w:r>
              <w:t>21.400</w:t>
            </w:r>
          </w:p>
        </w:tc>
      </w:tr>
      <w:tr w:rsidR="00BD7AE7" w:rsidTr="003C38F9">
        <w:tc>
          <w:tcPr>
            <w:tcW w:w="959" w:type="dxa"/>
          </w:tcPr>
          <w:p w:rsidR="00BD7AE7" w:rsidRDefault="00BD7AE7" w:rsidP="003C38F9">
            <w:r>
              <w:t>2030</w:t>
            </w:r>
          </w:p>
        </w:tc>
        <w:tc>
          <w:tcPr>
            <w:tcW w:w="2551" w:type="dxa"/>
          </w:tcPr>
          <w:p w:rsidR="00BD7AE7" w:rsidRPr="00BD7AE7" w:rsidRDefault="00BD7AE7" w:rsidP="003C38F9">
            <w:pPr>
              <w:jc w:val="right"/>
              <w:rPr>
                <w:b/>
                <w:color w:val="FF0000"/>
              </w:rPr>
            </w:pPr>
            <w:r w:rsidRPr="00BD7AE7">
              <w:rPr>
                <w:b/>
                <w:color w:val="FF0000"/>
              </w:rPr>
              <w:t>-10.180</w:t>
            </w:r>
          </w:p>
        </w:tc>
        <w:tc>
          <w:tcPr>
            <w:tcW w:w="2898" w:type="dxa"/>
          </w:tcPr>
          <w:p w:rsidR="00BD7AE7" w:rsidRDefault="00BD7AE7" w:rsidP="003C38F9">
            <w:pPr>
              <w:jc w:val="right"/>
            </w:pPr>
            <w:r>
              <w:t>1.603</w:t>
            </w:r>
          </w:p>
        </w:tc>
        <w:tc>
          <w:tcPr>
            <w:tcW w:w="2137" w:type="dxa"/>
          </w:tcPr>
          <w:p w:rsidR="00BD7AE7" w:rsidRPr="00BD7AE7" w:rsidRDefault="00BD7AE7" w:rsidP="003C38F9">
            <w:pPr>
              <w:jc w:val="right"/>
              <w:rPr>
                <w:b/>
                <w:color w:val="FF0000"/>
              </w:rPr>
            </w:pPr>
            <w:r w:rsidRPr="00BD7AE7">
              <w:rPr>
                <w:b/>
                <w:color w:val="FF0000"/>
              </w:rPr>
              <w:t>-11.783</w:t>
            </w:r>
          </w:p>
        </w:tc>
        <w:tc>
          <w:tcPr>
            <w:tcW w:w="2137" w:type="dxa"/>
          </w:tcPr>
          <w:p w:rsidR="00BD7AE7" w:rsidRDefault="00BD7AE7" w:rsidP="003C38F9">
            <w:pPr>
              <w:jc w:val="right"/>
            </w:pPr>
            <w:r>
              <w:t>23.003</w:t>
            </w:r>
          </w:p>
        </w:tc>
      </w:tr>
    </w:tbl>
    <w:p w:rsidR="00BD7AE7" w:rsidRDefault="00BD7AE7" w:rsidP="00BD7AE7"/>
    <w:p w:rsidR="00BD7AE7" w:rsidRDefault="00BD7AE7" w:rsidP="00BD7AE7"/>
    <w:p w:rsidR="00BD7AE7" w:rsidRDefault="00BD7AE7" w:rsidP="00BD7AE7">
      <w:pPr>
        <w:autoSpaceDE w:val="0"/>
        <w:autoSpaceDN w:val="0"/>
        <w:adjustRightInd w:val="0"/>
        <w:rPr>
          <w:rFonts w:eastAsia="ArialMT" w:cstheme="minorHAnsi"/>
          <w:color w:val="000000"/>
          <w:sz w:val="24"/>
          <w:szCs w:val="24"/>
        </w:rPr>
      </w:pPr>
      <w:r>
        <w:rPr>
          <w:rFonts w:ascii="Arial-BoldMT" w:hAnsi="Arial-BoldMT" w:cs="Arial-BoldMT"/>
          <w:b/>
          <w:bCs/>
          <w:color w:val="808080"/>
          <w:sz w:val="24"/>
          <w:szCs w:val="24"/>
        </w:rPr>
        <w:t xml:space="preserve">8.1.2 </w:t>
      </w:r>
      <w:r w:rsidRPr="00141ED8">
        <w:rPr>
          <w:rFonts w:eastAsia="ArialMT" w:cstheme="minorHAnsi"/>
          <w:color w:val="000000"/>
          <w:sz w:val="24"/>
          <w:szCs w:val="24"/>
        </w:rPr>
        <w:t xml:space="preserve">KCC had earlier proposed to plan for an </w:t>
      </w:r>
      <w:r>
        <w:rPr>
          <w:rFonts w:eastAsia="ArialMT" w:cstheme="minorHAnsi"/>
          <w:color w:val="000000"/>
          <w:sz w:val="24"/>
          <w:szCs w:val="24"/>
        </w:rPr>
        <w:t xml:space="preserve">additional 10% of land-won sand </w:t>
      </w:r>
      <w:r w:rsidRPr="00141ED8">
        <w:rPr>
          <w:rFonts w:eastAsia="ArialMT" w:cstheme="minorHAnsi"/>
          <w:color w:val="000000"/>
          <w:sz w:val="24"/>
          <w:szCs w:val="24"/>
        </w:rPr>
        <w:t>and gravel over and above the minimum amoun</w:t>
      </w:r>
      <w:r>
        <w:rPr>
          <w:rFonts w:eastAsia="ArialMT" w:cstheme="minorHAnsi"/>
          <w:color w:val="000000"/>
          <w:sz w:val="24"/>
          <w:szCs w:val="24"/>
        </w:rPr>
        <w:t xml:space="preserve">t required by the apportionment </w:t>
      </w:r>
      <w:r w:rsidRPr="00141ED8">
        <w:rPr>
          <w:rFonts w:eastAsia="ArialMT" w:cstheme="minorHAnsi"/>
          <w:color w:val="000000"/>
          <w:sz w:val="24"/>
          <w:szCs w:val="24"/>
        </w:rPr>
        <w:t>figure. However, it was explained in the Mineral Sites '</w:t>
      </w:r>
      <w:r>
        <w:rPr>
          <w:rFonts w:eastAsia="ArialMT" w:cstheme="minorHAnsi"/>
          <w:color w:val="000000"/>
          <w:sz w:val="24"/>
          <w:szCs w:val="24"/>
        </w:rPr>
        <w:t xml:space="preserve">Preferred Options' consultation </w:t>
      </w:r>
      <w:r w:rsidRPr="00141ED8">
        <w:rPr>
          <w:rFonts w:eastAsia="ArialMT" w:cstheme="minorHAnsi"/>
          <w:color w:val="000000"/>
          <w:sz w:val="24"/>
          <w:szCs w:val="24"/>
        </w:rPr>
        <w:t xml:space="preserve">document (May 2012) that it was not possible to </w:t>
      </w:r>
      <w:r>
        <w:rPr>
          <w:rFonts w:eastAsia="ArialMT" w:cstheme="minorHAnsi"/>
          <w:color w:val="000000"/>
          <w:sz w:val="24"/>
          <w:szCs w:val="24"/>
        </w:rPr>
        <w:t xml:space="preserve">identify sufficient deliverable </w:t>
      </w:r>
      <w:r w:rsidRPr="00141ED8">
        <w:rPr>
          <w:rFonts w:eastAsia="ArialMT" w:cstheme="minorHAnsi"/>
          <w:color w:val="000000"/>
          <w:sz w:val="24"/>
          <w:szCs w:val="24"/>
        </w:rPr>
        <w:t xml:space="preserve">sustainable sites to make provision for the </w:t>
      </w:r>
      <w:proofErr w:type="spellStart"/>
      <w:r w:rsidRPr="00141ED8">
        <w:rPr>
          <w:rFonts w:eastAsia="ArialMT" w:cstheme="minorHAnsi"/>
          <w:color w:val="000000"/>
          <w:sz w:val="24"/>
          <w:szCs w:val="24"/>
        </w:rPr>
        <w:t>landba</w:t>
      </w:r>
      <w:r>
        <w:rPr>
          <w:rFonts w:eastAsia="ArialMT" w:cstheme="minorHAnsi"/>
          <w:color w:val="000000"/>
          <w:sz w:val="24"/>
          <w:szCs w:val="24"/>
        </w:rPr>
        <w:t>nk</w:t>
      </w:r>
      <w:proofErr w:type="spellEnd"/>
      <w:r>
        <w:rPr>
          <w:rFonts w:eastAsia="ArialMT" w:cstheme="minorHAnsi"/>
          <w:color w:val="000000"/>
          <w:sz w:val="24"/>
          <w:szCs w:val="24"/>
        </w:rPr>
        <w:t xml:space="preserve"> requirement for the whole of </w:t>
      </w:r>
      <w:r w:rsidRPr="00141ED8">
        <w:rPr>
          <w:rFonts w:eastAsia="ArialMT" w:cstheme="minorHAnsi"/>
          <w:color w:val="000000"/>
          <w:sz w:val="24"/>
          <w:szCs w:val="24"/>
        </w:rPr>
        <w:t>the plan period plus an additional 10%. This remains</w:t>
      </w:r>
      <w:r>
        <w:rPr>
          <w:rFonts w:eastAsia="ArialMT" w:cstheme="minorHAnsi"/>
          <w:color w:val="000000"/>
          <w:sz w:val="24"/>
          <w:szCs w:val="24"/>
        </w:rPr>
        <w:t xml:space="preserve"> the case. The Mineral Sites plan will make provision for </w:t>
      </w:r>
      <w:r w:rsidRPr="00141ED8">
        <w:rPr>
          <w:rFonts w:eastAsia="ArialMT" w:cstheme="minorHAnsi"/>
          <w:color w:val="000000"/>
          <w:sz w:val="24"/>
          <w:szCs w:val="24"/>
        </w:rPr>
        <w:t>sufficient aggregate</w:t>
      </w:r>
      <w:r>
        <w:rPr>
          <w:rFonts w:eastAsia="ArialMT" w:cstheme="minorHAnsi"/>
          <w:color w:val="000000"/>
          <w:sz w:val="24"/>
          <w:szCs w:val="24"/>
        </w:rPr>
        <w:t xml:space="preserve"> for the plan period based upon </w:t>
      </w:r>
      <w:r w:rsidRPr="00141ED8">
        <w:rPr>
          <w:rFonts w:eastAsia="ArialMT" w:cstheme="minorHAnsi"/>
          <w:color w:val="000000"/>
          <w:sz w:val="24"/>
          <w:szCs w:val="24"/>
        </w:rPr>
        <w:t>calculations using the 10 year rolling average sales figure.</w:t>
      </w:r>
    </w:p>
    <w:p w:rsidR="00BD7AE7" w:rsidRPr="00141ED8" w:rsidRDefault="00BD7AE7" w:rsidP="00BD7AE7">
      <w:pPr>
        <w:autoSpaceDE w:val="0"/>
        <w:autoSpaceDN w:val="0"/>
        <w:adjustRightInd w:val="0"/>
        <w:rPr>
          <w:rFonts w:eastAsia="ArialMT" w:cstheme="minorHAnsi"/>
          <w:color w:val="000000"/>
          <w:sz w:val="24"/>
          <w:szCs w:val="24"/>
        </w:rPr>
      </w:pPr>
    </w:p>
    <w:p w:rsidR="00BD7AE7" w:rsidRPr="00141ED8" w:rsidRDefault="00BD7AE7" w:rsidP="00BD7AE7">
      <w:pPr>
        <w:autoSpaceDE w:val="0"/>
        <w:autoSpaceDN w:val="0"/>
        <w:adjustRightInd w:val="0"/>
        <w:rPr>
          <w:rFonts w:eastAsia="ArialMT" w:cstheme="minorHAnsi"/>
          <w:color w:val="000000"/>
          <w:sz w:val="24"/>
          <w:szCs w:val="24"/>
        </w:rPr>
      </w:pPr>
      <w:r w:rsidRPr="00141ED8">
        <w:rPr>
          <w:rFonts w:cstheme="minorHAnsi"/>
          <w:b/>
          <w:bCs/>
          <w:color w:val="808080"/>
          <w:sz w:val="24"/>
          <w:szCs w:val="24"/>
        </w:rPr>
        <w:t xml:space="preserve">8.1.3 </w:t>
      </w:r>
      <w:r w:rsidRPr="00141ED8">
        <w:rPr>
          <w:rFonts w:eastAsia="ArialMT" w:cstheme="minorHAnsi"/>
          <w:color w:val="000000"/>
          <w:sz w:val="24"/>
          <w:szCs w:val="24"/>
        </w:rPr>
        <w:t>Both the Sustainability Appraisal commen</w:t>
      </w:r>
      <w:r>
        <w:rPr>
          <w:rFonts w:eastAsia="ArialMT" w:cstheme="minorHAnsi"/>
          <w:color w:val="000000"/>
          <w:sz w:val="24"/>
          <w:szCs w:val="24"/>
        </w:rPr>
        <w:t xml:space="preserve">tary report and the majority of </w:t>
      </w:r>
      <w:r w:rsidRPr="00141ED8">
        <w:rPr>
          <w:rFonts w:eastAsia="ArialMT" w:cstheme="minorHAnsi"/>
          <w:color w:val="000000"/>
          <w:sz w:val="24"/>
          <w:szCs w:val="24"/>
        </w:rPr>
        <w:t>responses from the Core Strategy 'Issues' consultat</w:t>
      </w:r>
      <w:r>
        <w:rPr>
          <w:rFonts w:eastAsia="ArialMT" w:cstheme="minorHAnsi"/>
          <w:color w:val="000000"/>
          <w:sz w:val="24"/>
          <w:szCs w:val="24"/>
        </w:rPr>
        <w:t xml:space="preserve">ion (September 2010), supported </w:t>
      </w:r>
      <w:r w:rsidRPr="00141ED8">
        <w:rPr>
          <w:rFonts w:eastAsia="ArialMT" w:cstheme="minorHAnsi"/>
          <w:color w:val="000000"/>
          <w:sz w:val="24"/>
          <w:szCs w:val="24"/>
        </w:rPr>
        <w:t>the provision of an additional 10% over and above th</w:t>
      </w:r>
      <w:r>
        <w:rPr>
          <w:rFonts w:eastAsia="ArialMT" w:cstheme="minorHAnsi"/>
          <w:color w:val="000000"/>
          <w:sz w:val="24"/>
          <w:szCs w:val="24"/>
        </w:rPr>
        <w:t xml:space="preserve">e required land bank levels, if </w:t>
      </w:r>
      <w:r w:rsidRPr="00141ED8">
        <w:rPr>
          <w:rFonts w:eastAsia="ArialMT" w:cstheme="minorHAnsi"/>
          <w:color w:val="000000"/>
          <w:sz w:val="24"/>
          <w:szCs w:val="24"/>
        </w:rPr>
        <w:t>conditions allowed. However, at the next consultation</w:t>
      </w:r>
      <w:r>
        <w:rPr>
          <w:rFonts w:eastAsia="ArialMT" w:cstheme="minorHAnsi"/>
          <w:color w:val="000000"/>
          <w:sz w:val="24"/>
          <w:szCs w:val="24"/>
        </w:rPr>
        <w:t xml:space="preserve"> stage, the Strategy and Policy </w:t>
      </w:r>
      <w:r w:rsidRPr="00141ED8">
        <w:rPr>
          <w:rFonts w:eastAsia="ArialMT" w:cstheme="minorHAnsi"/>
          <w:color w:val="000000"/>
          <w:sz w:val="24"/>
          <w:szCs w:val="24"/>
        </w:rPr>
        <w:t>Directions consultation for the Core Strategy (May 2011), responses on this issue</w:t>
      </w:r>
    </w:p>
    <w:p w:rsidR="00BD7AE7" w:rsidRDefault="00BD7AE7" w:rsidP="00BD7AE7">
      <w:pPr>
        <w:autoSpaceDE w:val="0"/>
        <w:autoSpaceDN w:val="0"/>
        <w:adjustRightInd w:val="0"/>
        <w:rPr>
          <w:rFonts w:eastAsia="ArialMT" w:cstheme="minorHAnsi"/>
          <w:color w:val="000000"/>
          <w:sz w:val="24"/>
          <w:szCs w:val="24"/>
        </w:rPr>
      </w:pPr>
      <w:r w:rsidRPr="00141ED8">
        <w:rPr>
          <w:rFonts w:eastAsia="ArialMT" w:cstheme="minorHAnsi"/>
          <w:color w:val="000000"/>
          <w:sz w:val="24"/>
          <w:szCs w:val="24"/>
        </w:rPr>
        <w:t>were more balanced with five people supporting the</w:t>
      </w:r>
      <w:r>
        <w:rPr>
          <w:rFonts w:eastAsia="ArialMT" w:cstheme="minorHAnsi"/>
          <w:color w:val="000000"/>
          <w:sz w:val="24"/>
          <w:szCs w:val="24"/>
        </w:rPr>
        <w:t xml:space="preserve"> additional 10% and four people </w:t>
      </w:r>
      <w:r w:rsidRPr="00141ED8">
        <w:rPr>
          <w:rFonts w:eastAsia="ArialMT" w:cstheme="minorHAnsi"/>
          <w:color w:val="000000"/>
          <w:sz w:val="24"/>
          <w:szCs w:val="24"/>
        </w:rPr>
        <w:t>objecting to it, with two people only commenting.</w:t>
      </w:r>
    </w:p>
    <w:p w:rsidR="00BD7AE7" w:rsidRDefault="00BD7AE7" w:rsidP="00BD7AE7">
      <w:pPr>
        <w:autoSpaceDE w:val="0"/>
        <w:autoSpaceDN w:val="0"/>
        <w:adjustRightInd w:val="0"/>
        <w:rPr>
          <w:rFonts w:eastAsia="ArialMT" w:cstheme="minorHAnsi"/>
          <w:color w:val="000000"/>
          <w:sz w:val="24"/>
          <w:szCs w:val="24"/>
        </w:rPr>
      </w:pPr>
    </w:p>
    <w:p w:rsidR="00BD7AE7" w:rsidRDefault="00BD7AE7" w:rsidP="00BD7AE7">
      <w:pPr>
        <w:autoSpaceDE w:val="0"/>
        <w:autoSpaceDN w:val="0"/>
        <w:adjustRightInd w:val="0"/>
        <w:rPr>
          <w:rFonts w:eastAsia="ArialMT" w:cstheme="minorHAnsi"/>
          <w:color w:val="000000"/>
          <w:sz w:val="24"/>
          <w:szCs w:val="24"/>
        </w:rPr>
      </w:pPr>
      <w:r>
        <w:rPr>
          <w:rFonts w:eastAsia="ArialMT" w:cstheme="minorHAnsi"/>
          <w:color w:val="000000"/>
          <w:sz w:val="24"/>
          <w:szCs w:val="24"/>
        </w:rPr>
        <w:t>=====================================================================================</w:t>
      </w:r>
    </w:p>
    <w:p w:rsidR="00BD7AE7" w:rsidRDefault="00BD7AE7" w:rsidP="00BD7AE7">
      <w:pPr>
        <w:autoSpaceDE w:val="0"/>
        <w:autoSpaceDN w:val="0"/>
        <w:adjustRightInd w:val="0"/>
        <w:rPr>
          <w:rFonts w:eastAsia="ArialMT" w:cstheme="minorHAnsi"/>
          <w:color w:val="000000"/>
          <w:sz w:val="24"/>
          <w:szCs w:val="24"/>
        </w:rPr>
      </w:pPr>
    </w:p>
    <w:p w:rsidR="00BD7AE7" w:rsidRPr="00CF6AA6" w:rsidRDefault="00BD7AE7" w:rsidP="00BD7AE7">
      <w:pPr>
        <w:autoSpaceDE w:val="0"/>
        <w:autoSpaceDN w:val="0"/>
        <w:adjustRightInd w:val="0"/>
        <w:rPr>
          <w:rFonts w:ascii="ArialMT" w:hAnsi="ArialMT" w:cs="ArialMT"/>
          <w:b/>
          <w:color w:val="262626" w:themeColor="text1" w:themeTint="D9"/>
          <w:sz w:val="24"/>
          <w:szCs w:val="24"/>
        </w:rPr>
      </w:pPr>
      <w:r w:rsidRPr="00CF6AA6">
        <w:rPr>
          <w:rFonts w:ascii="ArialMT" w:hAnsi="ArialMT" w:cs="ArialMT"/>
          <w:b/>
          <w:color w:val="262626" w:themeColor="text1" w:themeTint="D9"/>
          <w:sz w:val="24"/>
          <w:szCs w:val="24"/>
        </w:rPr>
        <w:t xml:space="preserve">Kent Minerals and Waste Local Plan 2013-30 Adopted July 2016 </w:t>
      </w:r>
    </w:p>
    <w:p w:rsidR="00BD7AE7" w:rsidRPr="00CF6AA6" w:rsidRDefault="00BD7AE7" w:rsidP="00BD7AE7">
      <w:pPr>
        <w:autoSpaceDE w:val="0"/>
        <w:autoSpaceDN w:val="0"/>
        <w:adjustRightInd w:val="0"/>
        <w:rPr>
          <w:rFonts w:ascii="Arial-BoldMT" w:hAnsi="Arial-BoldMT" w:cs="Arial-BoldMT"/>
          <w:b/>
          <w:bCs/>
          <w:color w:val="808080"/>
          <w:sz w:val="24"/>
          <w:szCs w:val="24"/>
        </w:rPr>
      </w:pPr>
      <w:r w:rsidRPr="00CF6AA6">
        <w:rPr>
          <w:rFonts w:ascii="Arial-BoldMT" w:hAnsi="Arial-BoldMT" w:cs="Arial-BoldMT"/>
          <w:b/>
          <w:bCs/>
          <w:color w:val="808080"/>
          <w:sz w:val="24"/>
          <w:szCs w:val="24"/>
        </w:rPr>
        <w:t>Kent County Council</w:t>
      </w:r>
    </w:p>
    <w:p w:rsidR="00BD7AE7" w:rsidRDefault="00BD7AE7" w:rsidP="00BD7AE7">
      <w:pPr>
        <w:autoSpaceDE w:val="0"/>
        <w:autoSpaceDN w:val="0"/>
        <w:adjustRightInd w:val="0"/>
        <w:rPr>
          <w:rFonts w:eastAsia="ArialMT" w:cstheme="minorHAnsi"/>
          <w:color w:val="000000"/>
          <w:sz w:val="24"/>
          <w:szCs w:val="24"/>
        </w:rPr>
      </w:pPr>
    </w:p>
    <w:p w:rsidR="00BD7AE7" w:rsidRDefault="00BD7AE7" w:rsidP="00BD7AE7">
      <w:pPr>
        <w:autoSpaceDE w:val="0"/>
        <w:autoSpaceDN w:val="0"/>
        <w:adjustRightInd w:val="0"/>
        <w:rPr>
          <w:rFonts w:ascii="ArialMT" w:hAnsi="ArialMT" w:cs="ArialMT"/>
          <w:color w:val="000000"/>
          <w:sz w:val="24"/>
          <w:szCs w:val="24"/>
        </w:rPr>
      </w:pPr>
      <w:r>
        <w:rPr>
          <w:rFonts w:ascii="Arial-BoldMT" w:hAnsi="Arial-BoldMT" w:cs="Arial-BoldMT"/>
          <w:b/>
          <w:bCs/>
          <w:color w:val="808080"/>
          <w:sz w:val="24"/>
          <w:szCs w:val="24"/>
        </w:rPr>
        <w:t xml:space="preserve">5.2.34 </w:t>
      </w:r>
      <w:r>
        <w:rPr>
          <w:rFonts w:ascii="ArialMT" w:hAnsi="ArialMT" w:cs="ArialMT"/>
          <w:color w:val="000000"/>
          <w:sz w:val="24"/>
          <w:szCs w:val="24"/>
        </w:rPr>
        <w:t>Silica sand is used in a range of applications including the manufacture of</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glass and production of materials used in construction. An example of a potential local</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use would be in the manufacture of ‘</w:t>
      </w:r>
      <w:proofErr w:type="spellStart"/>
      <w:r>
        <w:rPr>
          <w:rFonts w:ascii="ArialMT" w:hAnsi="ArialMT" w:cs="ArialMT"/>
          <w:color w:val="000000"/>
          <w:sz w:val="24"/>
          <w:szCs w:val="24"/>
        </w:rPr>
        <w:t>Aircrete</w:t>
      </w:r>
      <w:proofErr w:type="spellEnd"/>
      <w:r>
        <w:rPr>
          <w:rFonts w:ascii="ArialMT" w:hAnsi="ArialMT" w:cs="ArialMT"/>
          <w:color w:val="000000"/>
          <w:sz w:val="24"/>
          <w:szCs w:val="24"/>
        </w:rPr>
        <w:t>’ blocks (also known as aerated concrete</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blocks) where it may substitute for the current supply of Pulverised Fuel Ash (PFA).</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Currently the existing market need for silica sand is being met by extraction from two</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quarries Wrotham Quarry (</w:t>
      </w:r>
      <w:proofErr w:type="spellStart"/>
      <w:r>
        <w:rPr>
          <w:rFonts w:ascii="ArialMT" w:hAnsi="ArialMT" w:cs="ArialMT"/>
          <w:color w:val="000000"/>
          <w:sz w:val="24"/>
          <w:szCs w:val="24"/>
        </w:rPr>
        <w:t>Addington</w:t>
      </w:r>
      <w:proofErr w:type="spellEnd"/>
      <w:r>
        <w:rPr>
          <w:rFonts w:ascii="ArialMT" w:hAnsi="ArialMT" w:cs="ArialMT"/>
          <w:color w:val="000000"/>
          <w:sz w:val="24"/>
          <w:szCs w:val="24"/>
        </w:rPr>
        <w:t xml:space="preserve"> Sand Pit) and Nepicar Sand Pit. These have</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 xml:space="preserve">permitted reserves in the region of </w:t>
      </w:r>
      <w:r w:rsidRPr="00CA088E">
        <w:rPr>
          <w:rFonts w:ascii="ArialMT" w:hAnsi="ArialMT" w:cs="ArialMT"/>
          <w:b/>
          <w:color w:val="000000"/>
          <w:sz w:val="24"/>
          <w:szCs w:val="24"/>
        </w:rPr>
        <w:t xml:space="preserve">2.1 </w:t>
      </w:r>
      <w:proofErr w:type="spellStart"/>
      <w:r w:rsidRPr="00CA088E">
        <w:rPr>
          <w:rFonts w:ascii="ArialMT" w:hAnsi="ArialMT" w:cs="ArialMT"/>
          <w:b/>
          <w:color w:val="000000"/>
          <w:sz w:val="24"/>
          <w:szCs w:val="24"/>
        </w:rPr>
        <w:t>mt</w:t>
      </w:r>
      <w:proofErr w:type="spellEnd"/>
      <w:r w:rsidRPr="00CA088E">
        <w:rPr>
          <w:rFonts w:ascii="ArialMT" w:hAnsi="ArialMT" w:cs="ArialMT"/>
          <w:b/>
          <w:color w:val="000000"/>
          <w:sz w:val="24"/>
          <w:szCs w:val="24"/>
        </w:rPr>
        <w:t>.</w:t>
      </w:r>
      <w:r>
        <w:rPr>
          <w:rFonts w:ascii="ArialMT" w:hAnsi="ArialMT" w:cs="ArialMT"/>
          <w:color w:val="000000"/>
          <w:sz w:val="24"/>
          <w:szCs w:val="24"/>
        </w:rPr>
        <w:t xml:space="preserve"> These quarries are identified in Appendix C</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and shown in Figure 13: Minerals Key Diagram. Wrotham Quarry site has a potential</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extension area but that lies within the Kent Downs AONB. While the Plan seeks to</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maintain a stock of permitted reserves, in line with national policy, it is recognised that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this may not be possible if it would be inconsistent with policy to conserve the landscape</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and scenic beauty of the AONB. In light of national policy, the Plan does not seek</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allocation of sites within the AONB or in locations which would have an adverse impact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on the setting of, and implementation of, the statutory purposes of the AONB. Proposals</w:t>
      </w:r>
    </w:p>
    <w:p w:rsidR="00BD7AE7" w:rsidRDefault="00BD7AE7" w:rsidP="00BD7AE7">
      <w:pPr>
        <w:rPr>
          <w:rFonts w:ascii="ArialMT" w:hAnsi="ArialMT" w:cs="ArialMT"/>
          <w:color w:val="000000"/>
          <w:sz w:val="24"/>
          <w:szCs w:val="24"/>
        </w:rPr>
      </w:pPr>
      <w:r>
        <w:rPr>
          <w:rFonts w:ascii="ArialMT" w:hAnsi="ArialMT" w:cs="ArialMT"/>
          <w:color w:val="000000"/>
          <w:sz w:val="24"/>
          <w:szCs w:val="24"/>
        </w:rPr>
        <w:t>will be considered on their merits against policy CSM 2.</w:t>
      </w:r>
    </w:p>
    <w:p w:rsidR="00BD7AE7" w:rsidRDefault="00BD7AE7" w:rsidP="00BD7AE7">
      <w:pPr>
        <w:rPr>
          <w:rFonts w:ascii="ArialMT" w:hAnsi="ArialMT" w:cs="ArialMT"/>
          <w:color w:val="000000"/>
          <w:sz w:val="24"/>
          <w:szCs w:val="24"/>
        </w:rPr>
      </w:pPr>
    </w:p>
    <w:p w:rsidR="00BD7AE7" w:rsidRDefault="00BD7AE7" w:rsidP="00BD7AE7">
      <w:pPr>
        <w:autoSpaceDE w:val="0"/>
        <w:autoSpaceDN w:val="0"/>
        <w:adjustRightInd w:val="0"/>
        <w:rPr>
          <w:rFonts w:ascii="ArialMT" w:hAnsi="ArialMT" w:cs="ArialMT"/>
          <w:color w:val="000000"/>
          <w:sz w:val="24"/>
          <w:szCs w:val="24"/>
        </w:rPr>
      </w:pPr>
      <w:r>
        <w:rPr>
          <w:rFonts w:ascii="Arial-BoldMT" w:hAnsi="Arial-BoldMT" w:cs="Arial-BoldMT"/>
          <w:b/>
          <w:bCs/>
          <w:color w:val="808080"/>
          <w:sz w:val="24"/>
          <w:szCs w:val="24"/>
        </w:rPr>
        <w:t xml:space="preserve">5.5.6 </w:t>
      </w:r>
      <w:r>
        <w:rPr>
          <w:rFonts w:ascii="ArialMT" w:hAnsi="ArialMT" w:cs="ArialMT"/>
          <w:color w:val="000000"/>
          <w:sz w:val="24"/>
          <w:szCs w:val="24"/>
        </w:rPr>
        <w:t>Geological mapping is indicative of the existence of a mineral resource. It is</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possible that the mineral has already been extracted and/or that some areas may not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contain any of mineral resource being safeguarded. Nevertheless, the onus will be on</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promoters of non-mineral development to demonstrate satisfactorily</w:t>
      </w:r>
      <w:r>
        <w:rPr>
          <w:rFonts w:ascii="Arial-BoldMT" w:hAnsi="Arial-BoldMT" w:cs="Arial-BoldMT"/>
          <w:b/>
          <w:bCs/>
          <w:color w:val="000000"/>
          <w:sz w:val="18"/>
          <w:szCs w:val="18"/>
        </w:rPr>
        <w:t xml:space="preserve">(64) </w:t>
      </w:r>
      <w:r>
        <w:rPr>
          <w:rFonts w:ascii="ArialMT" w:hAnsi="ArialMT" w:cs="ArialMT"/>
          <w:color w:val="000000"/>
          <w:sz w:val="24"/>
          <w:szCs w:val="24"/>
        </w:rPr>
        <w:t>at the time that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the development is promoted that the indicated mineral resource does not actually exist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in the location being promoted, or extraction would not be viable or practicable under</w:t>
      </w:r>
    </w:p>
    <w:p w:rsidR="00BD7AE7" w:rsidRDefault="00BD7AE7" w:rsidP="00BD7AE7">
      <w:pPr>
        <w:rPr>
          <w:rFonts w:ascii="ArialMT" w:hAnsi="ArialMT" w:cs="ArialMT"/>
          <w:color w:val="000000"/>
          <w:sz w:val="24"/>
          <w:szCs w:val="24"/>
        </w:rPr>
      </w:pPr>
      <w:r>
        <w:rPr>
          <w:rFonts w:ascii="ArialMT" w:hAnsi="ArialMT" w:cs="ArialMT"/>
          <w:color w:val="000000"/>
          <w:sz w:val="24"/>
          <w:szCs w:val="24"/>
        </w:rPr>
        <w:t>the particular circumstances.</w:t>
      </w:r>
    </w:p>
    <w:p w:rsidR="00BD7AE7" w:rsidRDefault="00BD7AE7" w:rsidP="00BD7AE7">
      <w:pPr>
        <w:rPr>
          <w:rFonts w:ascii="ArialMT" w:hAnsi="ArialMT" w:cs="ArialMT"/>
          <w:color w:val="000000"/>
          <w:sz w:val="24"/>
          <w:szCs w:val="24"/>
        </w:rPr>
      </w:pPr>
    </w:p>
    <w:p w:rsidR="00BD7AE7" w:rsidRDefault="00BD7AE7" w:rsidP="00BD7AE7">
      <w:pPr>
        <w:autoSpaceDE w:val="0"/>
        <w:autoSpaceDN w:val="0"/>
        <w:adjustRightInd w:val="0"/>
        <w:rPr>
          <w:rFonts w:ascii="ArialMT" w:hAnsi="ArialMT" w:cs="ArialMT"/>
          <w:color w:val="000000"/>
          <w:sz w:val="24"/>
          <w:szCs w:val="24"/>
        </w:rPr>
      </w:pPr>
      <w:r>
        <w:rPr>
          <w:rFonts w:ascii="Arial-BoldMT" w:hAnsi="Arial-BoldMT" w:cs="Arial-BoldMT"/>
          <w:b/>
          <w:bCs/>
          <w:color w:val="808080"/>
          <w:sz w:val="24"/>
          <w:szCs w:val="24"/>
        </w:rPr>
        <w:t xml:space="preserve">5.5.9 </w:t>
      </w:r>
      <w:r>
        <w:rPr>
          <w:rFonts w:ascii="ArialMT" w:hAnsi="ArialMT" w:cs="ArialMT"/>
          <w:color w:val="000000"/>
          <w:sz w:val="24"/>
          <w:szCs w:val="24"/>
        </w:rPr>
        <w:t>Economic land-won minerals that are identified for safeguarding in Kent are</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 xml:space="preserve">sharp sand and gravel, soft sand, silica sand, crushed rock, building stone and </w:t>
      </w:r>
      <w:proofErr w:type="spellStart"/>
      <w:r>
        <w:rPr>
          <w:rFonts w:ascii="ArialMT" w:hAnsi="ArialMT" w:cs="ArialMT"/>
          <w:color w:val="000000"/>
          <w:sz w:val="24"/>
          <w:szCs w:val="24"/>
        </w:rPr>
        <w:t>brickearth</w:t>
      </w:r>
      <w:proofErr w:type="spellEnd"/>
      <w:r>
        <w:rPr>
          <w:rFonts w:ascii="ArialMT" w:hAnsi="ArialMT" w:cs="ArialMT"/>
          <w:color w:val="000000"/>
          <w:sz w:val="24"/>
          <w:szCs w:val="24"/>
        </w:rPr>
        <w: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 xml:space="preserve">As chalk and clay (other than </w:t>
      </w:r>
      <w:proofErr w:type="spellStart"/>
      <w:r>
        <w:rPr>
          <w:rFonts w:ascii="ArialMT" w:hAnsi="ArialMT" w:cs="ArialMT"/>
          <w:color w:val="000000"/>
          <w:sz w:val="24"/>
          <w:szCs w:val="24"/>
        </w:rPr>
        <w:t>brickearth</w:t>
      </w:r>
      <w:proofErr w:type="spellEnd"/>
      <w:r>
        <w:rPr>
          <w:rFonts w:ascii="ArialMT" w:hAnsi="ArialMT" w:cs="ArialMT"/>
          <w:color w:val="000000"/>
          <w:sz w:val="24"/>
          <w:szCs w:val="24"/>
        </w:rPr>
        <w:t>) are abundant across the county, they are not</w:t>
      </w:r>
    </w:p>
    <w:p w:rsidR="00BD7AE7" w:rsidRDefault="00BD7AE7" w:rsidP="00BD7AE7">
      <w:pPr>
        <w:autoSpaceDE w:val="0"/>
        <w:autoSpaceDN w:val="0"/>
        <w:adjustRightInd w:val="0"/>
        <w:rPr>
          <w:rFonts w:ascii="ArialMT" w:hAnsi="ArialMT" w:cs="ArialMT"/>
          <w:color w:val="000000"/>
          <w:sz w:val="24"/>
          <w:szCs w:val="24"/>
        </w:rPr>
      </w:pPr>
      <w:r>
        <w:rPr>
          <w:rFonts w:ascii="ArialMT" w:hAnsi="ArialMT" w:cs="ArialMT"/>
          <w:color w:val="000000"/>
          <w:sz w:val="24"/>
          <w:szCs w:val="24"/>
        </w:rPr>
        <w:t>being safeguarded. The mineral resource areas identified for safeguarding are shown</w:t>
      </w:r>
    </w:p>
    <w:p w:rsidR="00BD7AE7" w:rsidRDefault="00BD7AE7" w:rsidP="00BD7AE7">
      <w:pPr>
        <w:autoSpaceDE w:val="0"/>
        <w:autoSpaceDN w:val="0"/>
        <w:adjustRightInd w:val="0"/>
        <w:rPr>
          <w:rFonts w:ascii="ArialMT" w:hAnsi="ArialMT" w:cs="ArialMT"/>
          <w:sz w:val="24"/>
          <w:szCs w:val="24"/>
        </w:rPr>
      </w:pPr>
      <w:r>
        <w:rPr>
          <w:rFonts w:ascii="ArialMT" w:hAnsi="ArialMT" w:cs="ArialMT"/>
          <w:color w:val="000000"/>
          <w:sz w:val="24"/>
          <w:szCs w:val="24"/>
        </w:rPr>
        <w:t xml:space="preserve">in the MSAs in Chapter 9: Adopted Policies Maps. The MSAs are based on mapping </w:t>
      </w:r>
      <w:r>
        <w:rPr>
          <w:rFonts w:ascii="ArialMT" w:hAnsi="ArialMT" w:cs="ArialMT"/>
          <w:sz w:val="24"/>
          <w:szCs w:val="24"/>
        </w:rPr>
        <w:t>of the mineral resource prepared by the BGS. Current guidance advises that mineral</w:t>
      </w:r>
    </w:p>
    <w:p w:rsidR="00BD7AE7" w:rsidRDefault="00BD7AE7" w:rsidP="00BD7AE7">
      <w:pPr>
        <w:autoSpaceDE w:val="0"/>
        <w:autoSpaceDN w:val="0"/>
        <w:adjustRightInd w:val="0"/>
        <w:rPr>
          <w:rFonts w:ascii="ArialMT" w:hAnsi="ArialMT" w:cs="ArialMT"/>
          <w:sz w:val="24"/>
          <w:szCs w:val="24"/>
        </w:rPr>
      </w:pPr>
      <w:r>
        <w:rPr>
          <w:rFonts w:ascii="ArialMT" w:hAnsi="ArialMT" w:cs="ArialMT"/>
          <w:sz w:val="24"/>
          <w:szCs w:val="24"/>
        </w:rPr>
        <w:t>safeguarding should not be curtailed by any other planning designation, such as</w:t>
      </w:r>
    </w:p>
    <w:p w:rsidR="00BD7AE7" w:rsidRDefault="00BD7AE7" w:rsidP="00BD7AE7">
      <w:pPr>
        <w:autoSpaceDE w:val="0"/>
        <w:autoSpaceDN w:val="0"/>
        <w:adjustRightInd w:val="0"/>
        <w:rPr>
          <w:rFonts w:ascii="ArialMT" w:hAnsi="ArialMT" w:cs="ArialMT"/>
          <w:sz w:val="24"/>
          <w:szCs w:val="24"/>
        </w:rPr>
      </w:pPr>
      <w:r>
        <w:rPr>
          <w:rFonts w:ascii="ArialMT" w:hAnsi="ArialMT" w:cs="ArialMT"/>
          <w:sz w:val="24"/>
          <w:szCs w:val="24"/>
        </w:rPr>
        <w:t>environmental designations without sound justification. The mineral resources within</w:t>
      </w:r>
    </w:p>
    <w:p w:rsidR="00BD7AE7" w:rsidRDefault="00BD7AE7" w:rsidP="00BD7AE7">
      <w:pPr>
        <w:autoSpaceDE w:val="0"/>
        <w:autoSpaceDN w:val="0"/>
        <w:adjustRightInd w:val="0"/>
        <w:rPr>
          <w:rFonts w:ascii="ArialMT" w:hAnsi="ArialMT" w:cs="ArialMT"/>
          <w:sz w:val="24"/>
          <w:szCs w:val="24"/>
        </w:rPr>
      </w:pPr>
      <w:r>
        <w:rPr>
          <w:rFonts w:ascii="ArialMT" w:hAnsi="ArialMT" w:cs="ArialMT"/>
          <w:sz w:val="24"/>
          <w:szCs w:val="24"/>
        </w:rPr>
        <w:lastRenderedPageBreak/>
        <w:t>the Plan area are extensive and whilst they continue beneath urban areas they are</w:t>
      </w:r>
    </w:p>
    <w:p w:rsidR="00BD7AE7" w:rsidRDefault="00BD7AE7" w:rsidP="00BD7AE7">
      <w:pPr>
        <w:autoSpaceDE w:val="0"/>
        <w:autoSpaceDN w:val="0"/>
        <w:adjustRightInd w:val="0"/>
        <w:rPr>
          <w:rFonts w:ascii="ArialMT" w:hAnsi="ArialMT" w:cs="ArialMT"/>
          <w:sz w:val="24"/>
          <w:szCs w:val="24"/>
        </w:rPr>
      </w:pPr>
      <w:r>
        <w:rPr>
          <w:rFonts w:ascii="ArialMT" w:hAnsi="ArialMT" w:cs="ArialMT"/>
          <w:sz w:val="24"/>
          <w:szCs w:val="24"/>
        </w:rPr>
        <w:t>already sterilised by non-mineral development with very little prospect of future working.</w:t>
      </w:r>
    </w:p>
    <w:p w:rsidR="00BD7AE7" w:rsidRDefault="00BD7AE7" w:rsidP="00BD7AE7">
      <w:pPr>
        <w:autoSpaceDE w:val="0"/>
        <w:autoSpaceDN w:val="0"/>
        <w:adjustRightInd w:val="0"/>
        <w:rPr>
          <w:rFonts w:ascii="ArialMT" w:hAnsi="ArialMT" w:cs="ArialMT"/>
          <w:sz w:val="24"/>
          <w:szCs w:val="24"/>
        </w:rPr>
      </w:pPr>
      <w:r>
        <w:rPr>
          <w:rFonts w:ascii="ArialMT" w:hAnsi="ArialMT" w:cs="ArialMT"/>
          <w:sz w:val="24"/>
          <w:szCs w:val="24"/>
        </w:rPr>
        <w:t>Therefore in order for the safeguarding to be practical such areas have been excluded</w:t>
      </w:r>
    </w:p>
    <w:p w:rsidR="00BD7AE7" w:rsidRDefault="00BD7AE7" w:rsidP="00BD7AE7">
      <w:pPr>
        <w:rPr>
          <w:rFonts w:ascii="ArialMT" w:hAnsi="ArialMT" w:cs="ArialMT"/>
          <w:sz w:val="24"/>
          <w:szCs w:val="24"/>
        </w:rPr>
      </w:pPr>
      <w:r>
        <w:rPr>
          <w:rFonts w:ascii="ArialMT" w:hAnsi="ArialMT" w:cs="ArialMT"/>
          <w:sz w:val="24"/>
          <w:szCs w:val="24"/>
        </w:rPr>
        <w:t>from the MSAs.</w:t>
      </w:r>
    </w:p>
    <w:p w:rsidR="00BD7AE7" w:rsidRDefault="00BD7AE7" w:rsidP="00BD7AE7">
      <w:pPr>
        <w:rPr>
          <w:rFonts w:ascii="ArialMT" w:hAnsi="ArialMT" w:cs="ArialMT"/>
          <w:sz w:val="24"/>
          <w:szCs w:val="24"/>
        </w:rPr>
      </w:pPr>
    </w:p>
    <w:p w:rsidR="00BD7AE7" w:rsidRDefault="00BD7AE7" w:rsidP="00BD7AE7">
      <w:pPr>
        <w:rPr>
          <w:rFonts w:ascii="ArialMT" w:hAnsi="ArialMT" w:cs="ArialMT"/>
          <w:sz w:val="24"/>
          <w:szCs w:val="24"/>
        </w:rPr>
      </w:pPr>
    </w:p>
    <w:p w:rsidR="00BD7AE7" w:rsidRDefault="00BD7AE7" w:rsidP="00BD7AE7">
      <w:pPr>
        <w:autoSpaceDE w:val="0"/>
        <w:autoSpaceDN w:val="0"/>
        <w:adjustRightInd w:val="0"/>
        <w:rPr>
          <w:rFonts w:ascii="Arial-BoldMT" w:hAnsi="Arial-BoldMT" w:cs="Arial-BoldMT"/>
          <w:b/>
          <w:bCs/>
          <w:sz w:val="18"/>
          <w:szCs w:val="18"/>
        </w:rPr>
      </w:pPr>
      <w:r>
        <w:rPr>
          <w:rFonts w:ascii="Arial-BoldMT" w:hAnsi="Arial-BoldMT" w:cs="Arial-BoldMT"/>
          <w:b/>
          <w:bCs/>
          <w:sz w:val="24"/>
          <w:szCs w:val="24"/>
        </w:rPr>
        <w:t>Mineral Reserves in Kent without Confidentially Millions of tonnes (</w:t>
      </w:r>
      <w:proofErr w:type="spellStart"/>
      <w:r>
        <w:rPr>
          <w:rFonts w:ascii="Arial-BoldMT" w:hAnsi="Arial-BoldMT" w:cs="Arial-BoldMT"/>
          <w:b/>
          <w:bCs/>
          <w:sz w:val="24"/>
          <w:szCs w:val="24"/>
        </w:rPr>
        <w:t>mt</w:t>
      </w:r>
      <w:proofErr w:type="spellEnd"/>
      <w:r>
        <w:rPr>
          <w:rFonts w:ascii="Arial-BoldMT" w:hAnsi="Arial-BoldMT" w:cs="Arial-BoldMT"/>
          <w:b/>
          <w:bCs/>
          <w:sz w:val="24"/>
          <w:szCs w:val="24"/>
        </w:rPr>
        <w:t xml:space="preserve">) </w:t>
      </w:r>
      <w:r>
        <w:rPr>
          <w:rFonts w:ascii="Arial-BoldMT" w:hAnsi="Arial-BoldMT" w:cs="Arial-BoldMT"/>
          <w:b/>
          <w:bCs/>
          <w:sz w:val="18"/>
          <w:szCs w:val="18"/>
        </w:rPr>
        <w:t>(1)</w:t>
      </w:r>
    </w:p>
    <w:p w:rsidR="00BD7AE7" w:rsidRDefault="00BD7AE7" w:rsidP="00BD7AE7">
      <w:pPr>
        <w:autoSpaceDE w:val="0"/>
        <w:autoSpaceDN w:val="0"/>
        <w:adjustRightInd w:val="0"/>
        <w:rPr>
          <w:rFonts w:ascii="Arial-BoldMT" w:hAnsi="Arial-BoldMT" w:cs="Arial-BoldMT"/>
          <w:b/>
          <w:bCs/>
          <w:sz w:val="24"/>
          <w:szCs w:val="24"/>
        </w:rPr>
      </w:pPr>
      <w:r>
        <w:rPr>
          <w:rFonts w:ascii="Arial-BoldMT" w:hAnsi="Arial-BoldMT" w:cs="Arial-BoldMT"/>
          <w:b/>
          <w:bCs/>
          <w:sz w:val="24"/>
          <w:szCs w:val="24"/>
        </w:rPr>
        <w:t>Restrictions</w:t>
      </w:r>
    </w:p>
    <w:tbl>
      <w:tblPr>
        <w:tblStyle w:val="TableGrid"/>
        <w:tblW w:w="0" w:type="auto"/>
        <w:tblLook w:val="04A0"/>
      </w:tblPr>
      <w:tblGrid>
        <w:gridCol w:w="5341"/>
        <w:gridCol w:w="1713"/>
      </w:tblGrid>
      <w:tr w:rsidR="00BD7AE7" w:rsidTr="003C38F9">
        <w:tc>
          <w:tcPr>
            <w:tcW w:w="5341" w:type="dxa"/>
          </w:tcPr>
          <w:p w:rsidR="00BD7AE7" w:rsidRDefault="00BD7AE7" w:rsidP="003C38F9">
            <w:pPr>
              <w:autoSpaceDE w:val="0"/>
              <w:autoSpaceDN w:val="0"/>
              <w:adjustRightInd w:val="0"/>
              <w:rPr>
                <w:rFonts w:ascii="Arial-BoldMT" w:hAnsi="Arial-BoldMT" w:cs="Arial-BoldMT"/>
                <w:b/>
                <w:bCs/>
                <w:sz w:val="24"/>
                <w:szCs w:val="24"/>
              </w:rPr>
            </w:pPr>
            <w:r>
              <w:rPr>
                <w:rFonts w:ascii="ArialMT" w:hAnsi="ArialMT" w:cs="ArialMT"/>
                <w:sz w:val="24"/>
                <w:szCs w:val="24"/>
              </w:rPr>
              <w:t>Soft Sand</w:t>
            </w:r>
          </w:p>
        </w:tc>
        <w:tc>
          <w:tcPr>
            <w:tcW w:w="1713" w:type="dxa"/>
          </w:tcPr>
          <w:p w:rsidR="00BD7AE7" w:rsidRPr="00CE5AF0" w:rsidRDefault="00BD7AE7" w:rsidP="003C38F9">
            <w:pPr>
              <w:autoSpaceDE w:val="0"/>
              <w:autoSpaceDN w:val="0"/>
              <w:adjustRightInd w:val="0"/>
              <w:rPr>
                <w:rFonts w:ascii="ArialMT" w:hAnsi="ArialMT" w:cs="ArialMT"/>
                <w:sz w:val="24"/>
                <w:szCs w:val="24"/>
              </w:rPr>
            </w:pPr>
            <w:r>
              <w:rPr>
                <w:rFonts w:ascii="ArialMT" w:hAnsi="ArialMT" w:cs="ArialMT"/>
                <w:sz w:val="24"/>
                <w:szCs w:val="24"/>
              </w:rPr>
              <w:t xml:space="preserve">10.6 </w:t>
            </w:r>
            <w:proofErr w:type="spellStart"/>
            <w:r>
              <w:rPr>
                <w:rFonts w:ascii="ArialMT" w:hAnsi="ArialMT" w:cs="ArialMT"/>
                <w:sz w:val="24"/>
                <w:szCs w:val="24"/>
              </w:rPr>
              <w:t>mt</w:t>
            </w:r>
            <w:proofErr w:type="spellEnd"/>
          </w:p>
        </w:tc>
      </w:tr>
      <w:tr w:rsidR="00BD7AE7" w:rsidTr="003C38F9">
        <w:tc>
          <w:tcPr>
            <w:tcW w:w="5341" w:type="dxa"/>
          </w:tcPr>
          <w:p w:rsidR="00BD7AE7" w:rsidRPr="00CE5AF0" w:rsidRDefault="00BD7AE7" w:rsidP="003C38F9">
            <w:pPr>
              <w:autoSpaceDE w:val="0"/>
              <w:autoSpaceDN w:val="0"/>
              <w:adjustRightInd w:val="0"/>
              <w:rPr>
                <w:rFonts w:ascii="ArialMT" w:hAnsi="ArialMT" w:cs="ArialMT"/>
                <w:sz w:val="24"/>
                <w:szCs w:val="24"/>
              </w:rPr>
            </w:pPr>
            <w:r>
              <w:rPr>
                <w:rFonts w:ascii="ArialMT" w:hAnsi="ArialMT" w:cs="ArialMT"/>
                <w:sz w:val="24"/>
                <w:szCs w:val="24"/>
              </w:rPr>
              <w:t>Soft Sand (non-aggregate uses including silica or industrial sand)</w:t>
            </w:r>
          </w:p>
        </w:tc>
        <w:tc>
          <w:tcPr>
            <w:tcW w:w="1713" w:type="dxa"/>
          </w:tcPr>
          <w:p w:rsidR="00BD7AE7" w:rsidRPr="00CE5AF0" w:rsidRDefault="00BD7AE7" w:rsidP="003C38F9">
            <w:pPr>
              <w:autoSpaceDE w:val="0"/>
              <w:autoSpaceDN w:val="0"/>
              <w:adjustRightInd w:val="0"/>
              <w:rPr>
                <w:rFonts w:ascii="Arial-BoldMT" w:hAnsi="Arial-BoldMT" w:cs="Arial-BoldMT"/>
                <w:bCs/>
                <w:sz w:val="24"/>
                <w:szCs w:val="24"/>
              </w:rPr>
            </w:pPr>
            <w:r w:rsidRPr="00CE5AF0">
              <w:rPr>
                <w:rFonts w:ascii="Arial-BoldMT" w:hAnsi="Arial-BoldMT" w:cs="Arial-BoldMT"/>
                <w:bCs/>
                <w:sz w:val="24"/>
                <w:szCs w:val="24"/>
              </w:rPr>
              <w:t>2.2mt</w:t>
            </w:r>
          </w:p>
        </w:tc>
      </w:tr>
      <w:tr w:rsidR="00BD7AE7" w:rsidTr="003C38F9">
        <w:tc>
          <w:tcPr>
            <w:tcW w:w="5341" w:type="dxa"/>
          </w:tcPr>
          <w:p w:rsidR="00BD7AE7" w:rsidRDefault="00BD7AE7" w:rsidP="003C38F9">
            <w:pPr>
              <w:autoSpaceDE w:val="0"/>
              <w:autoSpaceDN w:val="0"/>
              <w:adjustRightInd w:val="0"/>
              <w:rPr>
                <w:rFonts w:ascii="Arial-BoldMT" w:hAnsi="Arial-BoldMT" w:cs="Arial-BoldMT"/>
                <w:b/>
                <w:bCs/>
                <w:sz w:val="24"/>
                <w:szCs w:val="24"/>
              </w:rPr>
            </w:pPr>
            <w:r>
              <w:rPr>
                <w:rFonts w:ascii="ArialMT" w:hAnsi="ArialMT" w:cs="ArialMT"/>
                <w:sz w:val="24"/>
                <w:szCs w:val="24"/>
              </w:rPr>
              <w:t>Sharp Sand and Gravel</w:t>
            </w:r>
          </w:p>
        </w:tc>
        <w:tc>
          <w:tcPr>
            <w:tcW w:w="1713" w:type="dxa"/>
          </w:tcPr>
          <w:p w:rsidR="00BD7AE7" w:rsidRPr="00CE5AF0" w:rsidRDefault="00BD7AE7" w:rsidP="003C38F9">
            <w:pPr>
              <w:autoSpaceDE w:val="0"/>
              <w:autoSpaceDN w:val="0"/>
              <w:adjustRightInd w:val="0"/>
              <w:rPr>
                <w:rFonts w:ascii="Arial-BoldMT" w:hAnsi="Arial-BoldMT" w:cs="Arial-BoldMT"/>
                <w:bCs/>
                <w:sz w:val="24"/>
                <w:szCs w:val="24"/>
              </w:rPr>
            </w:pPr>
            <w:r w:rsidRPr="00CE5AF0">
              <w:rPr>
                <w:rFonts w:ascii="Arial-BoldMT" w:hAnsi="Arial-BoldMT" w:cs="Arial-BoldMT"/>
                <w:bCs/>
                <w:sz w:val="24"/>
                <w:szCs w:val="24"/>
              </w:rPr>
              <w:t>3.61mt</w:t>
            </w:r>
          </w:p>
        </w:tc>
      </w:tr>
      <w:tr w:rsidR="00BD7AE7" w:rsidTr="003C38F9">
        <w:tc>
          <w:tcPr>
            <w:tcW w:w="5341" w:type="dxa"/>
          </w:tcPr>
          <w:p w:rsidR="00BD7AE7" w:rsidRDefault="00BD7AE7" w:rsidP="003C38F9">
            <w:pPr>
              <w:autoSpaceDE w:val="0"/>
              <w:autoSpaceDN w:val="0"/>
              <w:adjustRightInd w:val="0"/>
              <w:rPr>
                <w:rFonts w:ascii="Arial-BoldMT" w:hAnsi="Arial-BoldMT" w:cs="Arial-BoldMT"/>
                <w:b/>
                <w:bCs/>
                <w:sz w:val="24"/>
                <w:szCs w:val="24"/>
              </w:rPr>
            </w:pPr>
            <w:r>
              <w:rPr>
                <w:rFonts w:ascii="ArialMT" w:hAnsi="ArialMT" w:cs="ArialMT"/>
                <w:sz w:val="24"/>
                <w:szCs w:val="24"/>
              </w:rPr>
              <w:t>Sharp Sand and Gravel (non-aggregate uses)</w:t>
            </w:r>
          </w:p>
        </w:tc>
        <w:tc>
          <w:tcPr>
            <w:tcW w:w="1713" w:type="dxa"/>
          </w:tcPr>
          <w:p w:rsidR="00BD7AE7" w:rsidRPr="00CE5AF0" w:rsidRDefault="00BD7AE7" w:rsidP="003C38F9">
            <w:pPr>
              <w:autoSpaceDE w:val="0"/>
              <w:autoSpaceDN w:val="0"/>
              <w:adjustRightInd w:val="0"/>
              <w:rPr>
                <w:rFonts w:ascii="Arial-BoldMT" w:hAnsi="Arial-BoldMT" w:cs="Arial-BoldMT"/>
                <w:bCs/>
                <w:sz w:val="24"/>
                <w:szCs w:val="24"/>
              </w:rPr>
            </w:pPr>
            <w:r w:rsidRPr="00CE5AF0">
              <w:rPr>
                <w:rFonts w:ascii="Arial-BoldMT" w:hAnsi="Arial-BoldMT" w:cs="Arial-BoldMT"/>
                <w:bCs/>
                <w:sz w:val="24"/>
                <w:szCs w:val="24"/>
              </w:rPr>
              <w:t>0.50</w:t>
            </w:r>
          </w:p>
        </w:tc>
      </w:tr>
      <w:tr w:rsidR="00BD7AE7" w:rsidTr="003C38F9">
        <w:tc>
          <w:tcPr>
            <w:tcW w:w="5341" w:type="dxa"/>
          </w:tcPr>
          <w:p w:rsidR="00BD7AE7" w:rsidRDefault="00BD7AE7" w:rsidP="003C38F9">
            <w:pPr>
              <w:autoSpaceDE w:val="0"/>
              <w:autoSpaceDN w:val="0"/>
              <w:adjustRightInd w:val="0"/>
              <w:rPr>
                <w:rFonts w:ascii="Arial-BoldMT" w:hAnsi="Arial-BoldMT" w:cs="Arial-BoldMT"/>
                <w:b/>
                <w:bCs/>
                <w:sz w:val="24"/>
                <w:szCs w:val="24"/>
              </w:rPr>
            </w:pPr>
            <w:r>
              <w:rPr>
                <w:rFonts w:ascii="ArialMT" w:hAnsi="ArialMT" w:cs="ArialMT"/>
                <w:sz w:val="24"/>
                <w:szCs w:val="24"/>
              </w:rPr>
              <w:t>Chalk (for agricultural uses)</w:t>
            </w:r>
          </w:p>
        </w:tc>
        <w:tc>
          <w:tcPr>
            <w:tcW w:w="1713" w:type="dxa"/>
          </w:tcPr>
          <w:p w:rsidR="00BD7AE7" w:rsidRPr="00CE5AF0" w:rsidRDefault="00BD7AE7" w:rsidP="003C38F9">
            <w:pPr>
              <w:autoSpaceDE w:val="0"/>
              <w:autoSpaceDN w:val="0"/>
              <w:adjustRightInd w:val="0"/>
              <w:rPr>
                <w:rFonts w:ascii="Arial-BoldMT" w:hAnsi="Arial-BoldMT" w:cs="Arial-BoldMT"/>
                <w:bCs/>
                <w:sz w:val="24"/>
                <w:szCs w:val="24"/>
              </w:rPr>
            </w:pPr>
            <w:r w:rsidRPr="00CE5AF0">
              <w:rPr>
                <w:rFonts w:ascii="Arial-BoldMT" w:hAnsi="Arial-BoldMT" w:cs="Arial-BoldMT"/>
                <w:bCs/>
                <w:sz w:val="24"/>
                <w:szCs w:val="24"/>
              </w:rPr>
              <w:t>1.9mt</w:t>
            </w:r>
          </w:p>
        </w:tc>
      </w:tr>
    </w:tbl>
    <w:p w:rsidR="00BD7AE7" w:rsidRDefault="00BD7AE7" w:rsidP="00BD7AE7">
      <w:r>
        <w:rPr>
          <w:rFonts w:ascii="ArialMT" w:hAnsi="ArialMT" w:cs="ArialMT"/>
          <w:sz w:val="20"/>
          <w:szCs w:val="20"/>
        </w:rPr>
        <w:t>1.</w:t>
      </w:r>
    </w:p>
    <w:p w:rsidR="009528DF" w:rsidRDefault="009528DF" w:rsidP="00264C53">
      <w:pPr>
        <w:autoSpaceDE w:val="0"/>
        <w:autoSpaceDN w:val="0"/>
        <w:adjustRightInd w:val="0"/>
        <w:rPr>
          <w:rFonts w:ascii="Arial,Bold" w:hAnsi="Arial,Bold" w:cs="Arial,Bold"/>
          <w:b/>
          <w:bCs/>
        </w:rPr>
      </w:pPr>
    </w:p>
    <w:p w:rsidR="00264C53" w:rsidRDefault="009528DF" w:rsidP="00264C53">
      <w:pPr>
        <w:rPr>
          <w:rFonts w:ascii="Arial" w:hAnsi="Arial" w:cs="Arial"/>
        </w:rPr>
      </w:pPr>
      <w:r>
        <w:rPr>
          <w:rFonts w:ascii="Arial" w:hAnsi="Arial" w:cs="Arial"/>
          <w:noProof/>
          <w:lang w:eastAsia="en-GB"/>
        </w:rPr>
        <w:lastRenderedPageBreak/>
        <w:drawing>
          <wp:inline distT="0" distB="0" distL="0" distR="0">
            <wp:extent cx="6591300" cy="9448800"/>
            <wp:effectExtent l="19050" t="0" r="0" b="0"/>
            <wp:docPr id="14" name="Picture 13" descr="TMmwlp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mwlpExtract.jpg"/>
                    <pic:cNvPicPr/>
                  </pic:nvPicPr>
                  <pic:blipFill>
                    <a:blip r:embed="rId27" cstate="print"/>
                    <a:stretch>
                      <a:fillRect/>
                    </a:stretch>
                  </pic:blipFill>
                  <pic:spPr>
                    <a:xfrm>
                      <a:off x="0" y="0"/>
                      <a:ext cx="6591300" cy="9448800"/>
                    </a:xfrm>
                    <a:prstGeom prst="rect">
                      <a:avLst/>
                    </a:prstGeom>
                  </pic:spPr>
                </pic:pic>
              </a:graphicData>
            </a:graphic>
          </wp:inline>
        </w:drawing>
      </w:r>
    </w:p>
    <w:sectPr w:rsidR="00264C53" w:rsidSect="00665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665F7A"/>
    <w:rsid w:val="00005A46"/>
    <w:rsid w:val="0014530E"/>
    <w:rsid w:val="001536A3"/>
    <w:rsid w:val="00220C7B"/>
    <w:rsid w:val="00221092"/>
    <w:rsid w:val="00240ED0"/>
    <w:rsid w:val="00255DAA"/>
    <w:rsid w:val="00263BBD"/>
    <w:rsid w:val="00264C53"/>
    <w:rsid w:val="002A7501"/>
    <w:rsid w:val="002A7F1E"/>
    <w:rsid w:val="002C6453"/>
    <w:rsid w:val="002E37A9"/>
    <w:rsid w:val="003102DE"/>
    <w:rsid w:val="00352AB4"/>
    <w:rsid w:val="00373559"/>
    <w:rsid w:val="003A048D"/>
    <w:rsid w:val="003B62DB"/>
    <w:rsid w:val="003C06FB"/>
    <w:rsid w:val="003C32CC"/>
    <w:rsid w:val="003E6299"/>
    <w:rsid w:val="003F65EA"/>
    <w:rsid w:val="004313CA"/>
    <w:rsid w:val="00437F05"/>
    <w:rsid w:val="00442AB8"/>
    <w:rsid w:val="0047497A"/>
    <w:rsid w:val="00514ADA"/>
    <w:rsid w:val="0051588C"/>
    <w:rsid w:val="0055474E"/>
    <w:rsid w:val="00557625"/>
    <w:rsid w:val="00581095"/>
    <w:rsid w:val="005870EE"/>
    <w:rsid w:val="00615F45"/>
    <w:rsid w:val="00663595"/>
    <w:rsid w:val="00665F7A"/>
    <w:rsid w:val="006832B2"/>
    <w:rsid w:val="00714C07"/>
    <w:rsid w:val="00723A12"/>
    <w:rsid w:val="007B2451"/>
    <w:rsid w:val="007F7C86"/>
    <w:rsid w:val="00827987"/>
    <w:rsid w:val="00836A9F"/>
    <w:rsid w:val="00840E25"/>
    <w:rsid w:val="00860827"/>
    <w:rsid w:val="008807CB"/>
    <w:rsid w:val="00890377"/>
    <w:rsid w:val="008911D2"/>
    <w:rsid w:val="008A5A26"/>
    <w:rsid w:val="00914F5F"/>
    <w:rsid w:val="009379D0"/>
    <w:rsid w:val="00943F1C"/>
    <w:rsid w:val="009528DF"/>
    <w:rsid w:val="00997F17"/>
    <w:rsid w:val="009E2BAA"/>
    <w:rsid w:val="00A201E4"/>
    <w:rsid w:val="00A52F59"/>
    <w:rsid w:val="00A530B3"/>
    <w:rsid w:val="00AA2403"/>
    <w:rsid w:val="00AC339C"/>
    <w:rsid w:val="00B249E7"/>
    <w:rsid w:val="00BB146C"/>
    <w:rsid w:val="00BB257D"/>
    <w:rsid w:val="00BD7AE7"/>
    <w:rsid w:val="00BE70D2"/>
    <w:rsid w:val="00C52021"/>
    <w:rsid w:val="00C6642C"/>
    <w:rsid w:val="00CA088E"/>
    <w:rsid w:val="00CC48F4"/>
    <w:rsid w:val="00CD73EA"/>
    <w:rsid w:val="00CE1B96"/>
    <w:rsid w:val="00CF2D7C"/>
    <w:rsid w:val="00D15DB7"/>
    <w:rsid w:val="00D304F7"/>
    <w:rsid w:val="00D923CE"/>
    <w:rsid w:val="00DC3E01"/>
    <w:rsid w:val="00DC6EC6"/>
    <w:rsid w:val="00DE1323"/>
    <w:rsid w:val="00DE3A03"/>
    <w:rsid w:val="00E82550"/>
    <w:rsid w:val="00E978DB"/>
    <w:rsid w:val="00EC7561"/>
    <w:rsid w:val="00ED054F"/>
    <w:rsid w:val="00F167FE"/>
    <w:rsid w:val="00FB57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7A"/>
    <w:rPr>
      <w:rFonts w:ascii="Tahoma" w:hAnsi="Tahoma" w:cs="Tahoma"/>
      <w:sz w:val="16"/>
      <w:szCs w:val="16"/>
    </w:rPr>
  </w:style>
  <w:style w:type="character" w:customStyle="1" w:styleId="BalloonTextChar">
    <w:name w:val="Balloon Text Char"/>
    <w:basedOn w:val="DefaultParagraphFont"/>
    <w:link w:val="BalloonText"/>
    <w:uiPriority w:val="99"/>
    <w:semiHidden/>
    <w:rsid w:val="00665F7A"/>
    <w:rPr>
      <w:rFonts w:ascii="Tahoma" w:hAnsi="Tahoma" w:cs="Tahoma"/>
      <w:sz w:val="16"/>
      <w:szCs w:val="16"/>
    </w:rPr>
  </w:style>
  <w:style w:type="table" w:styleId="TableGrid">
    <w:name w:val="Table Grid"/>
    <w:basedOn w:val="TableNormal"/>
    <w:uiPriority w:val="59"/>
    <w:rsid w:val="00836A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emf"/><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574</TotalTime>
  <Pages>17</Pages>
  <Words>2742</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Mike</cp:lastModifiedBy>
  <cp:revision>28</cp:revision>
  <cp:lastPrinted>2018-10-31T18:53:00Z</cp:lastPrinted>
  <dcterms:created xsi:type="dcterms:W3CDTF">2018-06-24T13:10:00Z</dcterms:created>
  <dcterms:modified xsi:type="dcterms:W3CDTF">2018-10-31T18:57:00Z</dcterms:modified>
</cp:coreProperties>
</file>